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BBEA9" w14:textId="77777777" w:rsidR="00C52A7B" w:rsidRPr="007D10FD" w:rsidRDefault="00C52A7B" w:rsidP="00C52A7B">
      <w:p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Pr="007D10FD">
        <w:rPr>
          <w:rFonts w:ascii="Times New Roman" w:hAnsi="Times New Roman" w:cs="Times New Roman"/>
          <w:b/>
          <w:sz w:val="24"/>
          <w:szCs w:val="24"/>
        </w:rPr>
        <w:t>9. Создание стойкой инфраструктуры, содействие всеохватной и устойчивой индустриализации и инновациям</w:t>
      </w:r>
    </w:p>
    <w:p w14:paraId="155E0955" w14:textId="77777777" w:rsidR="00C52A7B" w:rsidRPr="007D10FD" w:rsidRDefault="00C52A7B" w:rsidP="00C52A7B">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9.</w:t>
      </w:r>
      <w:r w:rsidRPr="007D10FD">
        <w:rPr>
          <w:rFonts w:ascii="Times New Roman" w:hAnsi="Times New Roman" w:cs="Times New Roman"/>
          <w:b/>
          <w:sz w:val="24"/>
          <w:szCs w:val="24"/>
          <w:lang w:val="en-US"/>
        </w:rPr>
        <w:t>c</w:t>
      </w:r>
      <w:r w:rsidRPr="007D10FD">
        <w:rPr>
          <w:rFonts w:ascii="Times New Roman" w:hAnsi="Times New Roman" w:cs="Times New Roman"/>
          <w:b/>
          <w:sz w:val="24"/>
          <w:szCs w:val="24"/>
        </w:rPr>
        <w:t xml:space="preserve"> Существенно расширить доступ к информационно-коммуникационным технологиям и стремиться к обеспечению всеобщего и недорогого доступа к Интернету в наименее развитых странах к 2020 году</w:t>
      </w:r>
    </w:p>
    <w:p w14:paraId="5398C6D0" w14:textId="77777777" w:rsidR="00C52A7B" w:rsidRPr="007D10FD" w:rsidRDefault="00C52A7B" w:rsidP="00C52A7B">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9.</w:t>
      </w:r>
      <w:r w:rsidRPr="007D10FD">
        <w:rPr>
          <w:rFonts w:ascii="Times New Roman" w:hAnsi="Times New Roman" w:cs="Times New Roman"/>
          <w:b/>
          <w:sz w:val="24"/>
          <w:szCs w:val="24"/>
          <w:lang w:val="en-US"/>
        </w:rPr>
        <w:t>c</w:t>
      </w:r>
      <w:r w:rsidRPr="007D10FD">
        <w:rPr>
          <w:rFonts w:ascii="Times New Roman" w:hAnsi="Times New Roman" w:cs="Times New Roman"/>
          <w:b/>
          <w:sz w:val="24"/>
          <w:szCs w:val="24"/>
        </w:rPr>
        <w:t>.1 Доля населения, охваченного мобильными сетями, в разбивке по технологиям</w:t>
      </w:r>
    </w:p>
    <w:p w14:paraId="270FF799" w14:textId="77777777" w:rsidR="00C52A7B" w:rsidRPr="007D10FD" w:rsidRDefault="00C52A7B" w:rsidP="00C52A7B">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Институциональная информация</w:t>
      </w:r>
    </w:p>
    <w:p w14:paraId="2A9A80D9"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Организация</w:t>
      </w:r>
      <w:r>
        <w:rPr>
          <w:rFonts w:ascii="Times New Roman" w:hAnsi="Times New Roman" w:cs="Times New Roman"/>
          <w:sz w:val="24"/>
          <w:szCs w:val="24"/>
        </w:rPr>
        <w:t>(и):</w:t>
      </w:r>
    </w:p>
    <w:p w14:paraId="044DDDA0"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Международный союз электросвязи (МСЭ)</w:t>
      </w:r>
    </w:p>
    <w:p w14:paraId="3A3BFFF8" w14:textId="77777777" w:rsidR="00C52A7B" w:rsidRPr="007D10FD" w:rsidRDefault="00C52A7B" w:rsidP="00C52A7B">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Концепции и определения</w:t>
      </w:r>
    </w:p>
    <w:p w14:paraId="2AD79374"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Определения</w:t>
      </w:r>
    </w:p>
    <w:p w14:paraId="2B40921F"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Доля населения, охваченного мобильной сетью, с разбивкой по технологиям, по отношению к доле жителей, проживающих в пределах диапазона мобильного сотового сигнала, независимо от того, являются ли они абонентами или пользователями мобильных телефонов. Показатель рассчитывается путем деления числа жителей в пределах диапазона мобильного сотового сигнала на общую численность населения и умноженная на 100.</w:t>
      </w:r>
    </w:p>
    <w:p w14:paraId="673285F4"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Обоснование</w:t>
      </w:r>
    </w:p>
    <w:p w14:paraId="1849C18D"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Процент населения, охваченного мобильной сотовой сетью, можно рассматривать как минимальный показатель доступа населения к ИКТ, поскольку сотовая сеть предоставляет людям возможность подписываться на мобильные услуги сотовой связи и использовать их для связи. За последнее десятилетие мобильные сети сотовой связи быстро расширялись и помогли преодолеть существовавшие простые инфраструктурные барьеры, потому что фиксированная телефонная сеть, часто ограничиваемая городскими и населенными районами, была доминирующей телекоммуникационной инфраструктурой.</w:t>
      </w:r>
    </w:p>
    <w:p w14:paraId="609304E1"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Так 2G (узкополосные) мобильные сотовые сети предлагают ограниченные (и в основном голосовые) услуги, высокоскоростные сети (3G и LTE) обеспечивают все более высокоскоростной, надежный и высококачественный доступ к Интернету с его растущим объемом информации, контенту, услугам и приложениям. Поэтому мобильные сети необходимы для преодоления барьеров инфраструктуры, оказания помощи людям в информационном обществе и использования потенциала ИКТ, особенно в наименее развитых странах.</w:t>
      </w:r>
    </w:p>
    <w:p w14:paraId="032F1099"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Индикатор отражает важность мобильных сетей в предоставлении основных, а также передовых услуг связи и помочи в разработке целенаправленной политики для преодоления оставшихся инфраструктурных барьеров, и выступает цифрового разрыва. Многие правительства рассчитывают данный показатель и задают конкретные цели с точки зрения охвата населения мобильными сетями (по технологии), которые должны выполнять операторы.</w:t>
      </w:r>
    </w:p>
    <w:p w14:paraId="3F9C5D6D" w14:textId="77777777" w:rsidR="00C52A7B" w:rsidRPr="007D10FD" w:rsidRDefault="00C52A7B" w:rsidP="00C52A7B">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Концепции</w:t>
      </w:r>
    </w:p>
    <w:p w14:paraId="6CB90001"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lastRenderedPageBreak/>
        <w:t>«Показатель разрабатывается на месте жительства индивида, место работы, учебы в данном случае не учитывается. В случае, если в одной области более чем один оператор предлагает услугу, учитывается максимально количество охваченного населения. При этом включаются LTE, широкополосные (3G) и узкополосные (2G) мобильные сотовые технологии:</w:t>
      </w:r>
    </w:p>
    <w:p w14:paraId="10421C4E"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Мобильный охват населения 2G: мобильные сети, имеющие доступ к передаче данных (например, Интернет) со скоростью ниже 256 Кбит/с. Сюда включаются мобильные сотовые технологии, такие как GPRS, CDMA2000 1x и большинство реализуемых EDGE. Индикатор отражает теоретическую способность абонентов использовать услуги мобильной передачи данных не широкополосной скорости, а не количество активных пользователей таких услуг.</w:t>
      </w:r>
    </w:p>
    <w:p w14:paraId="53448C37"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Охват населения 3G: относится к проценту жителей, которые находятся в пределах диапазона, по меньшей мере, 3G-мобильного сотового сигнала, независимо от того, являются ли они пользователями.  Показатель рассчитывается путем деления числа жителей, охваченных, по меньшей мере, 3G-сотовым сигналом от общей численности населения и умножением на 100. Это исключает людей, охваченных только GPRS, EDGE или CDMA 1xRTT.</w:t>
      </w:r>
    </w:p>
    <w:p w14:paraId="07C3F672"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Покрытие населения LTE: относится к проценту жителей, которые живут в диапазоне LTE / LTE-Advanced, мобильных WiMAX / WirelessMAN или других более совершенных мобильных сотовых сетей, независимо от того, являются ли они пользователями. Показатель рассчитывается путем деления числа жителей, охваченных вышеупомянутыми мобильно-сотовыми технологиями, на общую численность населения и умножения на 100. Сюда не включается население, охваченное только HSPA, UMTS, EV-DO и предыдущими технологиями 3G, а также исключает фиксированный охват WiMAX.</w:t>
      </w:r>
    </w:p>
    <w:p w14:paraId="03D22C70"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По мере развития технологий и по мере того, как все больше стран внедряют и коммерциализируют более совершенные мобильные широкополосные сети (5G и т. д.), в показатель будут включаться дополнительные разрезы».</w:t>
      </w:r>
    </w:p>
    <w:p w14:paraId="30FF80EE" w14:textId="77777777" w:rsidR="00C52A7B" w:rsidRPr="007D10FD" w:rsidRDefault="00C52A7B" w:rsidP="00C52A7B">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Комментарии и ограничения</w:t>
      </w:r>
    </w:p>
    <w:p w14:paraId="550205CC"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В некоторых странах сложно рассчитать общий охват населения мобильной связью. В некоторых случаях данные относятся только к оператору с наибольшим охватом, в связи с чем показатель реального охвата может быть занижен.</w:t>
      </w:r>
    </w:p>
    <w:p w14:paraId="49A54D0F" w14:textId="77777777" w:rsidR="00C52A7B" w:rsidRPr="007D10FD" w:rsidRDefault="00C52A7B" w:rsidP="00C52A7B">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Методология</w:t>
      </w:r>
    </w:p>
    <w:p w14:paraId="658A0C24" w14:textId="77777777" w:rsidR="00C52A7B" w:rsidRPr="007D10FD" w:rsidRDefault="00C52A7B" w:rsidP="00C52A7B">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Расчет показателя</w:t>
      </w:r>
    </w:p>
    <w:p w14:paraId="7C00BD28"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Показатель процента населения, охваченного мобильной сетью, с разбивкой по технологиям, относится к проценту жителей, проживающих в пределах диапазона мобильного сотового сигнала, независимо от того, являются ли они абонентами или пользователями мобильных телефонов. Показатель рассчитывается путем деления числа жителей в пределах диапазона мобильного сотового сигнала на общую численность населения и умножения на 100.</w:t>
      </w:r>
    </w:p>
    <w:p w14:paraId="43659FF1" w14:textId="77777777" w:rsidR="00C52A7B" w:rsidRPr="007D10FD" w:rsidRDefault="00C52A7B" w:rsidP="00C52A7B">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Дезагрегация</w:t>
      </w:r>
    </w:p>
    <w:p w14:paraId="2CB5B67F"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 xml:space="preserve">Основываясь на доле населения, охваченного мобильной сетью, с разбивкой по технологиям, а также по доле сельского населения, страны могут давать оценки по охвату </w:t>
      </w:r>
      <w:r w:rsidRPr="007D10FD">
        <w:rPr>
          <w:rFonts w:ascii="Times New Roman" w:hAnsi="Times New Roman" w:cs="Times New Roman"/>
          <w:sz w:val="24"/>
          <w:szCs w:val="24"/>
        </w:rPr>
        <w:lastRenderedPageBreak/>
        <w:t>населения сетями сотовой связи в сельских и городских районах. МСЭ создает глобальные оценки охвата сельского населения по технологиям.</w:t>
      </w:r>
    </w:p>
    <w:p w14:paraId="5226E6B9" w14:textId="77777777" w:rsidR="00C52A7B" w:rsidRPr="007D10FD" w:rsidRDefault="00C52A7B" w:rsidP="00C52A7B">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Обработка пропущенных значений</w:t>
      </w:r>
    </w:p>
    <w:p w14:paraId="396E3713" w14:textId="77777777" w:rsidR="00C52A7B" w:rsidRPr="00C91EA9" w:rsidRDefault="00C52A7B" w:rsidP="00C52A7B">
      <w:pPr>
        <w:spacing w:after="240" w:line="240" w:lineRule="auto"/>
        <w:jc w:val="both"/>
        <w:rPr>
          <w:rFonts w:ascii="Times New Roman" w:hAnsi="Times New Roman" w:cs="Times New Roman"/>
          <w:i/>
          <w:sz w:val="24"/>
          <w:szCs w:val="24"/>
        </w:rPr>
      </w:pPr>
      <w:r w:rsidRPr="00C91EA9">
        <w:rPr>
          <w:rFonts w:ascii="Times New Roman" w:hAnsi="Times New Roman" w:cs="Times New Roman"/>
          <w:i/>
          <w:sz w:val="24"/>
          <w:szCs w:val="24"/>
        </w:rPr>
        <w:t>На уровне страны</w:t>
      </w:r>
    </w:p>
    <w:p w14:paraId="5443B502"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Пропущенные значения оцениваются с использованием данных, опубликованных операторами сотовой связи, которые имеют наибольшую долю на рынке.</w:t>
      </w:r>
    </w:p>
    <w:p w14:paraId="4483F727" w14:textId="77777777" w:rsidR="00C52A7B" w:rsidRPr="00C91EA9" w:rsidRDefault="00C52A7B" w:rsidP="00C52A7B">
      <w:pPr>
        <w:spacing w:after="240" w:line="240" w:lineRule="auto"/>
        <w:jc w:val="both"/>
        <w:rPr>
          <w:rFonts w:ascii="Times New Roman" w:hAnsi="Times New Roman" w:cs="Times New Roman"/>
          <w:i/>
          <w:sz w:val="24"/>
          <w:szCs w:val="24"/>
        </w:rPr>
      </w:pPr>
      <w:r w:rsidRPr="00C91EA9">
        <w:rPr>
          <w:rFonts w:ascii="Times New Roman" w:hAnsi="Times New Roman" w:cs="Times New Roman"/>
          <w:i/>
          <w:sz w:val="24"/>
          <w:szCs w:val="24"/>
        </w:rPr>
        <w:t>На региональном и глобальном уровне</w:t>
      </w:r>
    </w:p>
    <w:p w14:paraId="15AD5C73"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Пропущенные значения оцениваются с использованием данных, опубликованных операторами сотовой связи, которые имеют наибольшую долю на рынке.</w:t>
      </w:r>
    </w:p>
    <w:p w14:paraId="36C073FB" w14:textId="77777777" w:rsidR="00C52A7B" w:rsidRPr="007D10FD" w:rsidRDefault="00C52A7B" w:rsidP="00C52A7B">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Региональное агрегирование</w:t>
      </w:r>
    </w:p>
    <w:p w14:paraId="102E339C"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Глобальные и региональные оценки производятся с использованием взвешенных данных на страновом уровне. Во-первых, данные, отсутствующие на страновом уровне, оцениваются с использованием данных доминирующего оператора мобильной связи. После того, как рассчитаны все процентные доли на уровне страны, количество людей, охваченных мобильным сигналом, рассчитывается путем умножения процента населения, охваченного сигналом на население страны. Региональный и глобальный охват населения сигналом, рассчитывается путем суммирования данных на страновом уровне. Совокупные проценты рассчитываются путем деления региональных итоговых долей на население соответствующих групп.</w:t>
      </w:r>
    </w:p>
    <w:p w14:paraId="577EAFD4" w14:textId="77777777" w:rsidR="00C52A7B" w:rsidRPr="007D10FD" w:rsidRDefault="00C52A7B" w:rsidP="00C52A7B">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Источники расхождения</w:t>
      </w:r>
    </w:p>
    <w:p w14:paraId="322C2EC9"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Отсутствуют. МСЭ использует данные, предоставленные странами, включая охват населения, который используется для расчета долей.</w:t>
      </w:r>
    </w:p>
    <w:p w14:paraId="640B9588" w14:textId="77777777" w:rsidR="00C52A7B" w:rsidRPr="007D10FD" w:rsidRDefault="00C52A7B" w:rsidP="00C52A7B">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Источники данных</w:t>
      </w:r>
    </w:p>
    <w:p w14:paraId="2B746B4F" w14:textId="77777777" w:rsidR="00C52A7B" w:rsidRPr="007D10FD" w:rsidRDefault="00C52A7B" w:rsidP="00C52A7B">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Описание</w:t>
      </w:r>
    </w:p>
    <w:p w14:paraId="2C457491"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Этот показатель основан на согласованных на международном уровне определении и методологии, которые были разработаны в рамках координации МСЭ через свои Группы экспертов и после широкого процесса консультаций со странами. Также он является показателем основного списка индикаторов Партнерства по измерению ИКТ в области развития, который был одобрен Статистической комиссией ООН (последний раз в 2014 году).</w:t>
      </w:r>
    </w:p>
    <w:p w14:paraId="7F95A15C"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МСЭ собирает данные по этому показателю через ежегодный вопросник через национальные ответственные органы или министерства информационных и коммуникационных технологий, которые собирают данные у поставщиков интернет-услуг.</w:t>
      </w:r>
    </w:p>
    <w:p w14:paraId="2A5C3997" w14:textId="77777777" w:rsidR="00C52A7B" w:rsidRPr="007D10FD" w:rsidRDefault="00C52A7B" w:rsidP="00C52A7B">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Процесс сбора</w:t>
      </w:r>
    </w:p>
    <w:p w14:paraId="2F1A1060"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МСЭ собирает данные по этому показателю через ежегодный вопросник через национальные ответственные органы или министерства информационных и коммуникационных технологий, которые собирают данные у поставщиков интернет-услуг.</w:t>
      </w:r>
    </w:p>
    <w:p w14:paraId="15F30766" w14:textId="77777777" w:rsidR="00C52A7B" w:rsidRPr="007D10FD" w:rsidRDefault="00C52A7B" w:rsidP="00C52A7B">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lastRenderedPageBreak/>
        <w:t>Доступность данных</w:t>
      </w:r>
    </w:p>
    <w:p w14:paraId="276F8356"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К 2015 году данные об охвате населения сетью 2G были доступны примерно для 147 стран из развитых и развивающихся регионов и охватывали все ключевые глобальные регионы. Данные об охвате населения 3G доступны для 152 стран, а данные об охвате населения LTE доступны для 124 стран. МСЭ ежегодно публикует данные по этому показателю.</w:t>
      </w:r>
    </w:p>
    <w:p w14:paraId="7C0E4551" w14:textId="77777777" w:rsidR="00C52A7B" w:rsidRPr="007D10FD" w:rsidRDefault="00C52A7B" w:rsidP="00C52A7B">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Календарь</w:t>
      </w:r>
    </w:p>
    <w:p w14:paraId="4A8634C7" w14:textId="77777777" w:rsidR="00C52A7B" w:rsidRPr="007D10FD" w:rsidRDefault="00C52A7B" w:rsidP="00C52A7B">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Сбор данных</w:t>
      </w:r>
    </w:p>
    <w:p w14:paraId="19A395FB"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Данные собираются в рамках краткого информационного бюллетеня МСЭ по Всемирной Телекоммуникации / ИКТ в апреле каждого года и публикуются в июне каждого года.</w:t>
      </w:r>
    </w:p>
    <w:p w14:paraId="33BD6FF0" w14:textId="77777777" w:rsidR="00C52A7B" w:rsidRPr="007D10FD" w:rsidRDefault="00C52A7B" w:rsidP="00C52A7B">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Публикация данных</w:t>
      </w:r>
    </w:p>
    <w:p w14:paraId="057C150B"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Июнь 2016</w:t>
      </w:r>
    </w:p>
    <w:p w14:paraId="04400C15" w14:textId="77777777" w:rsidR="00C52A7B" w:rsidRPr="007D10FD" w:rsidRDefault="00C52A7B" w:rsidP="00C52A7B">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Поставщики данных</w:t>
      </w:r>
    </w:p>
    <w:p w14:paraId="281C473D"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Орган власти, ответственный за  электросвязь / ИКТ или Министерство ИКТ.</w:t>
      </w:r>
    </w:p>
    <w:p w14:paraId="5FE5BF2F" w14:textId="77777777" w:rsidR="00C52A7B" w:rsidRPr="007D10FD" w:rsidRDefault="00C52A7B" w:rsidP="00C52A7B">
      <w:p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Составители</w:t>
      </w:r>
      <w:r w:rsidRPr="007D10FD">
        <w:rPr>
          <w:rFonts w:ascii="Times New Roman" w:hAnsi="Times New Roman" w:cs="Times New Roman"/>
          <w:b/>
          <w:sz w:val="24"/>
          <w:szCs w:val="24"/>
        </w:rPr>
        <w:t xml:space="preserve"> данных</w:t>
      </w:r>
    </w:p>
    <w:p w14:paraId="0BE4479E" w14:textId="77777777" w:rsidR="00C52A7B" w:rsidRPr="007D10FD" w:rsidRDefault="00C52A7B" w:rsidP="00C52A7B">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МСЭ</w:t>
      </w:r>
    </w:p>
    <w:p w14:paraId="4F9C2E32" w14:textId="77777777" w:rsidR="00C52A7B" w:rsidRPr="007D10FD" w:rsidRDefault="00C52A7B" w:rsidP="00C52A7B">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Дополнительная информация</w:t>
      </w:r>
    </w:p>
    <w:p w14:paraId="35A51E0A" w14:textId="77777777" w:rsidR="00C52A7B" w:rsidRPr="007D10FD" w:rsidRDefault="00C52A7B" w:rsidP="00C52A7B">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Ссылки на электронные источники</w:t>
      </w:r>
    </w:p>
    <w:p w14:paraId="1A7E325D" w14:textId="77777777" w:rsidR="00C52A7B" w:rsidRPr="007D10FD" w:rsidRDefault="00C52A7B" w:rsidP="00C52A7B">
      <w:pPr>
        <w:spacing w:after="240" w:line="240" w:lineRule="auto"/>
        <w:jc w:val="both"/>
        <w:rPr>
          <w:rFonts w:ascii="Times New Roman" w:hAnsi="Times New Roman" w:cs="Times New Roman"/>
          <w:sz w:val="24"/>
          <w:szCs w:val="24"/>
        </w:rPr>
      </w:pPr>
      <w:hyperlink r:id="rId5" w:history="1">
        <w:r w:rsidRPr="007D10FD">
          <w:rPr>
            <w:rStyle w:val="Hyperlink"/>
            <w:rFonts w:ascii="Times New Roman" w:hAnsi="Times New Roman" w:cs="Times New Roman"/>
            <w:sz w:val="24"/>
            <w:szCs w:val="24"/>
          </w:rPr>
          <w:t>http://www.itu.int/en/ITU-D/Statistics/Pages/default.aspx</w:t>
        </w:r>
      </w:hyperlink>
    </w:p>
    <w:p w14:paraId="765ECD42" w14:textId="77777777" w:rsidR="00C52A7B" w:rsidRPr="007D10FD" w:rsidRDefault="00C52A7B" w:rsidP="00C52A7B">
      <w:pPr>
        <w:spacing w:after="240" w:line="240" w:lineRule="auto"/>
        <w:jc w:val="both"/>
        <w:rPr>
          <w:rFonts w:ascii="Times New Roman" w:hAnsi="Times New Roman" w:cs="Times New Roman"/>
          <w:b/>
          <w:sz w:val="24"/>
          <w:szCs w:val="24"/>
          <w:lang w:val="en-US"/>
        </w:rPr>
      </w:pPr>
      <w:r w:rsidRPr="007D10FD">
        <w:rPr>
          <w:rFonts w:ascii="Times New Roman" w:hAnsi="Times New Roman" w:cs="Times New Roman"/>
          <w:b/>
          <w:sz w:val="24"/>
          <w:szCs w:val="24"/>
        </w:rPr>
        <w:t>Рекомендации</w:t>
      </w:r>
    </w:p>
    <w:p w14:paraId="2DF55503" w14:textId="77777777" w:rsidR="00C52A7B" w:rsidRPr="007D10FD" w:rsidRDefault="00C52A7B" w:rsidP="00C52A7B">
      <w:pPr>
        <w:pStyle w:val="Default"/>
        <w:rPr>
          <w:rFonts w:ascii="Times New Roman" w:hAnsi="Times New Roman" w:cs="Times New Roman"/>
          <w:lang w:val="en-US"/>
        </w:rPr>
      </w:pPr>
      <w:r w:rsidRPr="007D10FD">
        <w:rPr>
          <w:rFonts w:ascii="Times New Roman" w:hAnsi="Times New Roman" w:cs="Times New Roman"/>
          <w:lang w:val="en-US"/>
        </w:rPr>
        <w:t xml:space="preserve">ITU Handbook for the collection of Administrative Data on Telecommunications/ICT, 2011 (and revisions and new indicators), see: </w:t>
      </w:r>
    </w:p>
    <w:p w14:paraId="37CB2DA1" w14:textId="77777777" w:rsidR="00C52A7B" w:rsidRPr="007D10FD" w:rsidRDefault="00C52A7B" w:rsidP="00C52A7B">
      <w:pPr>
        <w:spacing w:after="240" w:line="240" w:lineRule="auto"/>
        <w:jc w:val="both"/>
        <w:rPr>
          <w:rFonts w:ascii="Times New Roman" w:hAnsi="Times New Roman" w:cs="Times New Roman"/>
          <w:sz w:val="24"/>
          <w:szCs w:val="24"/>
          <w:lang w:val="en-US"/>
        </w:rPr>
      </w:pPr>
      <w:hyperlink r:id="rId6" w:history="1">
        <w:r w:rsidRPr="007D10FD">
          <w:rPr>
            <w:rStyle w:val="Hyperlink"/>
            <w:rFonts w:ascii="Times New Roman" w:hAnsi="Times New Roman" w:cs="Times New Roman"/>
            <w:sz w:val="24"/>
            <w:szCs w:val="24"/>
            <w:lang w:val="en-US"/>
          </w:rPr>
          <w:t>http://www.itu.int/en/ITU-D/Statistics/Pages/publications/handbook.aspx</w:t>
        </w:r>
      </w:hyperlink>
    </w:p>
    <w:p w14:paraId="08A255A7" w14:textId="77777777" w:rsidR="00C52A7B" w:rsidRPr="007D10FD" w:rsidRDefault="00C52A7B" w:rsidP="00C52A7B">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Связанные показатели</w:t>
      </w:r>
    </w:p>
    <w:p w14:paraId="56BCAB2D" w14:textId="77777777" w:rsidR="00C52A7B" w:rsidRPr="007D10FD" w:rsidRDefault="00C52A7B" w:rsidP="00C52A7B">
      <w:pPr>
        <w:spacing w:after="240" w:line="240" w:lineRule="auto"/>
        <w:jc w:val="both"/>
        <w:rPr>
          <w:rFonts w:ascii="Times New Roman" w:hAnsi="Times New Roman" w:cs="Times New Roman"/>
          <w:b/>
          <w:sz w:val="24"/>
          <w:szCs w:val="24"/>
        </w:rPr>
      </w:pPr>
      <w:r w:rsidRPr="007D10FD">
        <w:rPr>
          <w:rFonts w:ascii="Times New Roman" w:hAnsi="Times New Roman" w:cs="Times New Roman"/>
          <w:sz w:val="24"/>
          <w:szCs w:val="24"/>
        </w:rPr>
        <w:t>1.4, 2.3, 2.c, 9.1, 11.b, 13.1</w:t>
      </w:r>
    </w:p>
    <w:p w14:paraId="3C4DA4D3" w14:textId="109E0FAB" w:rsidR="008F7D16" w:rsidRPr="00C52A7B" w:rsidRDefault="008F7D16" w:rsidP="00C52A7B">
      <w:bookmarkStart w:id="0" w:name="_GoBack"/>
      <w:bookmarkEnd w:id="0"/>
    </w:p>
    <w:sectPr w:rsidR="008F7D16" w:rsidRPr="00C52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Полужирный">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9B2773"/>
    <w:multiLevelType w:val="multilevel"/>
    <w:tmpl w:val="FE3A7A98"/>
    <w:lvl w:ilvl="0">
      <w:start w:val="1"/>
      <w:numFmt w:val="decimal"/>
      <w:lvlText w:val="%1."/>
      <w:lvlJc w:val="left"/>
      <w:pPr>
        <w:ind w:left="592" w:hanging="450"/>
      </w:pPr>
      <w:rPr>
        <w:rFonts w:hint="default"/>
      </w:rPr>
    </w:lvl>
    <w:lvl w:ilvl="1">
      <w:start w:val="1"/>
      <w:numFmt w:val="decimal"/>
      <w:pStyle w:val="a"/>
      <w:lvlText w:val="%1.%2."/>
      <w:lvlJc w:val="left"/>
      <w:pPr>
        <w:ind w:left="1571"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5127" w:hanging="1440"/>
      </w:pPr>
      <w:rPr>
        <w:rFonts w:hint="default"/>
      </w:rPr>
    </w:lvl>
    <w:lvl w:ilvl="6">
      <w:start w:val="1"/>
      <w:numFmt w:val="decimal"/>
      <w:lvlText w:val="%1.%2.%3.%4.%5.%6.%7."/>
      <w:lvlJc w:val="left"/>
      <w:pPr>
        <w:ind w:left="6196" w:hanging="1800"/>
      </w:pPr>
      <w:rPr>
        <w:rFonts w:hint="default"/>
      </w:rPr>
    </w:lvl>
    <w:lvl w:ilvl="7">
      <w:start w:val="1"/>
      <w:numFmt w:val="decimal"/>
      <w:lvlText w:val="%1.%2.%3.%4.%5.%6.%7.%8."/>
      <w:lvlJc w:val="left"/>
      <w:pPr>
        <w:ind w:left="6905" w:hanging="1800"/>
      </w:pPr>
      <w:rPr>
        <w:rFonts w:hint="default"/>
      </w:rPr>
    </w:lvl>
    <w:lvl w:ilvl="8">
      <w:start w:val="1"/>
      <w:numFmt w:val="decimal"/>
      <w:lvlText w:val="%1.%2.%3.%4.%5.%6.%7.%8.%9."/>
      <w:lvlJc w:val="left"/>
      <w:pPr>
        <w:ind w:left="797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094"/>
    <w:rsid w:val="000110B3"/>
    <w:rsid w:val="000902F0"/>
    <w:rsid w:val="002B5202"/>
    <w:rsid w:val="006F3094"/>
    <w:rsid w:val="007D10FD"/>
    <w:rsid w:val="008C7E66"/>
    <w:rsid w:val="008F7D16"/>
    <w:rsid w:val="00A73596"/>
    <w:rsid w:val="00BF4D4E"/>
    <w:rsid w:val="00C52A7B"/>
    <w:rsid w:val="00C866DB"/>
    <w:rsid w:val="00C91EA9"/>
    <w:rsid w:val="00CF2E22"/>
    <w:rsid w:val="00E47E06"/>
    <w:rsid w:val="00E77DFA"/>
    <w:rsid w:val="00F47DE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9955"/>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подзаголовок"/>
    <w:basedOn w:val="Normal"/>
    <w:next w:val="Normal"/>
    <w:autoRedefine/>
    <w:qFormat/>
    <w:rsid w:val="00CF2E22"/>
    <w:pPr>
      <w:numPr>
        <w:ilvl w:val="1"/>
        <w:numId w:val="1"/>
      </w:numPr>
      <w:spacing w:before="240" w:after="240" w:line="240" w:lineRule="auto"/>
      <w:jc w:val="both"/>
    </w:pPr>
    <w:rPr>
      <w:rFonts w:ascii="Times New Roman Полужирный" w:hAnsi="Times New Roman Полужирный" w:cs="Times New Roman"/>
      <w:b/>
      <w:smallCaps/>
      <w:color w:val="000000"/>
      <w:sz w:val="28"/>
      <w:szCs w:val="28"/>
    </w:rPr>
  </w:style>
  <w:style w:type="character" w:styleId="Hyperlink">
    <w:name w:val="Hyperlink"/>
    <w:basedOn w:val="DefaultParagraphFont"/>
    <w:uiPriority w:val="99"/>
    <w:unhideWhenUsed/>
    <w:rsid w:val="008F7D16"/>
    <w:rPr>
      <w:color w:val="0000FF" w:themeColor="hyperlink"/>
      <w:u w:val="single"/>
    </w:rPr>
  </w:style>
  <w:style w:type="paragraph" w:customStyle="1" w:styleId="Default">
    <w:name w:val="Default"/>
    <w:rsid w:val="008F7D1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u.int/en/ITU-D/Statistics/Pages/publications/handbook.aspx" TargetMode="External"/><Relationship Id="rId5" Type="http://schemas.openxmlformats.org/officeDocument/2006/relationships/hyperlink" Target="http://www.itu.int/en/ITU-D/Statistics/Pages/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4</Pages>
  <Words>1287</Words>
  <Characters>7337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6</cp:revision>
  <dcterms:created xsi:type="dcterms:W3CDTF">2017-09-15T08:07:00Z</dcterms:created>
  <dcterms:modified xsi:type="dcterms:W3CDTF">2021-08-19T16:25:00Z</dcterms:modified>
</cp:coreProperties>
</file>