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E73" w:rsidRPr="00534007" w:rsidRDefault="00A52E73" w:rsidP="00A52E73">
      <w:pPr>
        <w:pStyle w:val="a"/>
        <w:jc w:val="both"/>
        <w:rPr>
          <w:rFonts w:ascii="Times New Roman" w:hAnsi="Times New Roman" w:cs="Times New Roman"/>
          <w:b/>
          <w:sz w:val="24"/>
          <w:szCs w:val="24"/>
        </w:rPr>
      </w:pPr>
      <w:r w:rsidRPr="00534007">
        <w:rPr>
          <w:rFonts w:ascii="Times New Roman" w:hAnsi="Times New Roman" w:cs="Times New Roman"/>
          <w:b/>
          <w:bCs/>
          <w:sz w:val="24"/>
          <w:szCs w:val="24"/>
        </w:rPr>
        <w:t xml:space="preserve">Цель 8 </w:t>
      </w:r>
      <w:r w:rsidRPr="00534007">
        <w:rPr>
          <w:rFonts w:ascii="Times New Roman" w:hAnsi="Times New Roman" w:cs="Times New Roman"/>
          <w:b/>
          <w:sz w:val="24"/>
          <w:szCs w:val="24"/>
        </w:rPr>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A52E73" w:rsidRPr="00534007" w:rsidRDefault="00A52E73" w:rsidP="00A52E73">
      <w:pPr>
        <w:pStyle w:val="a"/>
        <w:jc w:val="both"/>
        <w:rPr>
          <w:rFonts w:ascii="Times New Roman" w:hAnsi="Times New Roman" w:cs="Times New Roman"/>
          <w:b/>
          <w:sz w:val="24"/>
          <w:szCs w:val="24"/>
        </w:rPr>
      </w:pPr>
      <w:r w:rsidRPr="00534007">
        <w:rPr>
          <w:rFonts w:ascii="Times New Roman" w:hAnsi="Times New Roman" w:cs="Times New Roman"/>
          <w:b/>
          <w:bCs/>
          <w:sz w:val="24"/>
          <w:szCs w:val="24"/>
        </w:rPr>
        <w:t xml:space="preserve">8.8 </w:t>
      </w:r>
      <w:r w:rsidRPr="00534007">
        <w:rPr>
          <w:rFonts w:ascii="Times New Roman" w:hAnsi="Times New Roman" w:cs="Times New Roman"/>
          <w:b/>
          <w:sz w:val="24"/>
          <w:szCs w:val="24"/>
        </w:rPr>
        <w:t xml:space="preserve">Защищать трудовые права и содействовать обеспечению надежных и безопасных условий работы для всех трудящихся, включая трудящихся-мигрантов, особенно женщин-мигрантов, и лиц, не имеющих стабильной занятости </w:t>
      </w:r>
    </w:p>
    <w:p w:rsidR="00A52E73" w:rsidRPr="00534007" w:rsidRDefault="00A52E73" w:rsidP="00A52E73">
      <w:pPr>
        <w:pStyle w:val="a"/>
        <w:jc w:val="both"/>
        <w:rPr>
          <w:rFonts w:ascii="Times New Roman" w:hAnsi="Times New Roman" w:cs="Times New Roman"/>
          <w:b/>
          <w:sz w:val="24"/>
          <w:szCs w:val="24"/>
        </w:rPr>
      </w:pPr>
      <w:r w:rsidRPr="00534007">
        <w:rPr>
          <w:rFonts w:ascii="Times New Roman" w:hAnsi="Times New Roman" w:cs="Times New Roman"/>
          <w:b/>
          <w:bCs/>
          <w:sz w:val="24"/>
          <w:szCs w:val="24"/>
        </w:rPr>
        <w:t xml:space="preserve">8.8.1 </w:t>
      </w:r>
      <w:r w:rsidRPr="00534007">
        <w:rPr>
          <w:rFonts w:ascii="Times New Roman" w:hAnsi="Times New Roman" w:cs="Times New Roman"/>
          <w:b/>
          <w:sz w:val="24"/>
          <w:szCs w:val="24"/>
        </w:rPr>
        <w:t>Производственный травматизм со смертельным и не смертельным исходом в разбивке по полу и миграционному статусу</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Институциональная информация</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Организация(и):</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Международная Организация Труда (МОТ)</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 xml:space="preserve">Концепции и определения </w:t>
      </w:r>
    </w:p>
    <w:p w:rsidR="00A52E73" w:rsidRPr="00B53FFB" w:rsidRDefault="00A52E73" w:rsidP="00A52E73">
      <w:pPr>
        <w:pStyle w:val="a"/>
        <w:jc w:val="both"/>
        <w:rPr>
          <w:rFonts w:ascii="Times New Roman" w:hAnsi="Times New Roman" w:cs="Times New Roman"/>
          <w:sz w:val="24"/>
          <w:szCs w:val="24"/>
        </w:rPr>
      </w:pPr>
      <w:r w:rsidRPr="00B53FFB">
        <w:rPr>
          <w:rFonts w:ascii="Times New Roman" w:hAnsi="Times New Roman" w:cs="Times New Roman"/>
          <w:sz w:val="24"/>
          <w:szCs w:val="24"/>
        </w:rPr>
        <w:t>Определение:</w:t>
      </w:r>
    </w:p>
    <w:p w:rsidR="00A52E73" w:rsidRDefault="00A52E73" w:rsidP="00A52E73">
      <w:pPr>
        <w:jc w:val="both"/>
        <w:rPr>
          <w:rFonts w:ascii="Times New Roman" w:hAnsi="Times New Roman" w:cs="Times New Roman"/>
          <w:sz w:val="24"/>
          <w:szCs w:val="24"/>
        </w:rPr>
      </w:pPr>
      <w:r w:rsidRPr="00B53FFB">
        <w:rPr>
          <w:rFonts w:ascii="Times New Roman" w:hAnsi="Times New Roman" w:cs="Times New Roman"/>
          <w:sz w:val="24"/>
          <w:szCs w:val="24"/>
        </w:rPr>
        <w:t>Частота смертельных и не смертельных профессиональных травм дает информацию о числе случаев смертельного и несмертельного профессионального травматизма за часы работы соответствующего населения за отчетный период.</w:t>
      </w:r>
      <w:r w:rsidRPr="00B53FFB">
        <w:t xml:space="preserve"> </w:t>
      </w:r>
      <w:r w:rsidRPr="00B53FFB">
        <w:rPr>
          <w:rFonts w:ascii="Times New Roman" w:hAnsi="Times New Roman" w:cs="Times New Roman"/>
          <w:sz w:val="24"/>
          <w:szCs w:val="24"/>
        </w:rPr>
        <w:t>Это показатель риска получения смертельного или не смертельного профессионального травматизма в зависимости от продолжительности воздействия неблагоприятных факторов, связанных с работой.</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Обоснование:</w:t>
      </w:r>
    </w:p>
    <w:p w:rsidR="00A52E73" w:rsidRDefault="00A52E73" w:rsidP="00A52E73">
      <w:pPr>
        <w:jc w:val="both"/>
        <w:rPr>
          <w:rFonts w:ascii="Times New Roman" w:hAnsi="Times New Roman" w:cs="Times New Roman"/>
          <w:sz w:val="24"/>
          <w:szCs w:val="24"/>
        </w:rPr>
      </w:pPr>
      <w:r w:rsidRPr="00B53FFB">
        <w:rPr>
          <w:rFonts w:ascii="Times New Roman" w:hAnsi="Times New Roman" w:cs="Times New Roman"/>
          <w:sz w:val="24"/>
          <w:szCs w:val="24"/>
        </w:rPr>
        <w:t>Этот показатель дает ценную информацию, которую можно было бы использовать для разработки политики и программ профилактики производственного травматизма, заболеваний и смертности. Его можно было бы также использовать для контроля за осуществлением этих программ и информирования о конкретных областях повыш</w:t>
      </w:r>
      <w:r>
        <w:rPr>
          <w:rFonts w:ascii="Times New Roman" w:hAnsi="Times New Roman" w:cs="Times New Roman"/>
          <w:sz w:val="24"/>
          <w:szCs w:val="24"/>
        </w:rPr>
        <w:t>енного</w:t>
      </w:r>
      <w:r w:rsidRPr="00B53FFB">
        <w:rPr>
          <w:rFonts w:ascii="Times New Roman" w:hAnsi="Times New Roman" w:cs="Times New Roman"/>
          <w:sz w:val="24"/>
          <w:szCs w:val="24"/>
        </w:rPr>
        <w:t xml:space="preserve"> риска, таких, как конкретная профессия, отрасль или место</w:t>
      </w:r>
      <w:r>
        <w:rPr>
          <w:rFonts w:ascii="Times New Roman" w:hAnsi="Times New Roman" w:cs="Times New Roman"/>
          <w:sz w:val="24"/>
          <w:szCs w:val="24"/>
        </w:rPr>
        <w:t>положение</w:t>
      </w:r>
      <w:r w:rsidRPr="00B53FFB">
        <w:rPr>
          <w:rFonts w:ascii="Times New Roman" w:hAnsi="Times New Roman" w:cs="Times New Roman"/>
          <w:sz w:val="24"/>
          <w:szCs w:val="24"/>
        </w:rPr>
        <w:t>.</w:t>
      </w:r>
      <w:r w:rsidRPr="00B53FFB">
        <w:t xml:space="preserve"> </w:t>
      </w:r>
      <w:r w:rsidRPr="00B53FFB">
        <w:rPr>
          <w:rFonts w:ascii="Times New Roman" w:hAnsi="Times New Roman" w:cs="Times New Roman"/>
          <w:sz w:val="24"/>
          <w:szCs w:val="24"/>
        </w:rPr>
        <w:t>Хотя основная цель этого показателя заключается в предоставлении информации для целей профилактики, она может использоваться для ряда других целей, таких как определение профессий и экономической деятельности с наивысшим риском профессиональных травм; выявлять изменения в характере и возникновении профессиональных травм, с тем чтобы отслеживать улучшения</w:t>
      </w:r>
      <w:r>
        <w:rPr>
          <w:rFonts w:ascii="Times New Roman" w:hAnsi="Times New Roman" w:cs="Times New Roman"/>
          <w:sz w:val="24"/>
          <w:szCs w:val="24"/>
        </w:rPr>
        <w:t xml:space="preserve"> уровня</w:t>
      </w:r>
      <w:r w:rsidRPr="00B53FFB">
        <w:rPr>
          <w:rFonts w:ascii="Times New Roman" w:hAnsi="Times New Roman" w:cs="Times New Roman"/>
          <w:sz w:val="24"/>
          <w:szCs w:val="24"/>
        </w:rPr>
        <w:t xml:space="preserve"> безопасности и выявлять любые новые области риска; информировать работодателей, организации работодателей, работников и организации работников о рисках, связанных с их работой и рабочими местами, с тем чтобы они могли принимать активное участие в собственной безопасности; оценить эффективность профилактических мер; оценить последствия производственного травматизма, особенно в отношении потерянных дней или </w:t>
      </w:r>
      <w:r>
        <w:rPr>
          <w:rFonts w:ascii="Times New Roman" w:hAnsi="Times New Roman" w:cs="Times New Roman"/>
          <w:sz w:val="24"/>
          <w:szCs w:val="24"/>
        </w:rPr>
        <w:t>издержек</w:t>
      </w:r>
      <w:r w:rsidRPr="00B53FFB">
        <w:rPr>
          <w:rFonts w:ascii="Times New Roman" w:hAnsi="Times New Roman" w:cs="Times New Roman"/>
          <w:sz w:val="24"/>
          <w:szCs w:val="24"/>
        </w:rPr>
        <w:t>; и обеспечить основу для разработки политики, направленной на поощрение работодателей, организаций работодателей, работников и организаций работников к внедрению мер по предупреждению несчастных случаев.</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Основные определения:</w:t>
      </w:r>
    </w:p>
    <w:p w:rsidR="00A52E73"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lastRenderedPageBreak/>
        <w:t>Определения основных концепций, представленных ниже, взяты из Резолюции, касающейся статистики производственных травм (в результате несчастных случаев на производстве),</w:t>
      </w:r>
      <w:r>
        <w:rPr>
          <w:rFonts w:ascii="Times New Roman" w:hAnsi="Times New Roman" w:cs="Times New Roman"/>
          <w:sz w:val="24"/>
          <w:szCs w:val="24"/>
        </w:rPr>
        <w:t xml:space="preserve"> принятой 16-м МКСТ в 1998 году </w:t>
      </w:r>
      <w:r w:rsidRPr="00A17E38">
        <w:rPr>
          <w:rFonts w:ascii="Times New Roman" w:hAnsi="Times New Roman" w:cs="Times New Roman"/>
          <w:sz w:val="24"/>
          <w:szCs w:val="24"/>
        </w:rPr>
        <w:t>(</w:t>
      </w:r>
      <w:hyperlink r:id="rId5" w:history="1">
        <w:r w:rsidRPr="00663449">
          <w:rPr>
            <w:rStyle w:val="Hyperlink"/>
            <w:rFonts w:ascii="Times New Roman" w:hAnsi="Times New Roman" w:cs="Times New Roman"/>
            <w:sz w:val="24"/>
            <w:szCs w:val="24"/>
          </w:rPr>
          <w:t>http://www.ilo.org/global/statistics-and-databases/standards-and-guidelines/resolutions-adopted-byinternational-conferences-of-labour-statisticians/WCMS_087528/lang--en/index.htm</w:t>
        </w:r>
      </w:hyperlink>
      <w:r w:rsidRPr="00A17E38">
        <w:rPr>
          <w:rFonts w:ascii="Times New Roman" w:hAnsi="Times New Roman" w:cs="Times New Roman"/>
          <w:sz w:val="24"/>
          <w:szCs w:val="24"/>
        </w:rPr>
        <w:t>).</w:t>
      </w:r>
      <w:r>
        <w:rPr>
          <w:rFonts w:ascii="Times New Roman" w:hAnsi="Times New Roman" w:cs="Times New Roman"/>
          <w:sz w:val="24"/>
          <w:szCs w:val="24"/>
        </w:rPr>
        <w:t xml:space="preserve">  </w:t>
      </w:r>
    </w:p>
    <w:p w:rsidR="00A52E73" w:rsidRDefault="00A52E73" w:rsidP="00A52E73">
      <w:pPr>
        <w:pStyle w:val="a"/>
        <w:jc w:val="both"/>
        <w:rPr>
          <w:rFonts w:ascii="Times New Roman" w:hAnsi="Times New Roman" w:cs="Times New Roman"/>
          <w:sz w:val="24"/>
          <w:szCs w:val="24"/>
        </w:rPr>
      </w:pPr>
      <w:r w:rsidRPr="00B53FFB">
        <w:rPr>
          <w:rFonts w:ascii="Times New Roman" w:hAnsi="Times New Roman" w:cs="Times New Roman"/>
          <w:sz w:val="24"/>
          <w:szCs w:val="24"/>
        </w:rPr>
        <w:t>Несчастный случай на производстве: неожиданное и незапланированное происшествие, включая акты насилия, возникающие в результате или в связи с работой, в результате которого один или несколько работников получают телесные повреждения, заболевают или умирают.</w:t>
      </w:r>
      <w:r w:rsidRPr="00B53FFB">
        <w:t xml:space="preserve"> </w:t>
      </w:r>
      <w:r w:rsidRPr="00B53FFB">
        <w:rPr>
          <w:rFonts w:ascii="Times New Roman" w:hAnsi="Times New Roman" w:cs="Times New Roman"/>
          <w:sz w:val="24"/>
          <w:szCs w:val="24"/>
        </w:rPr>
        <w:t>Несчастны</w:t>
      </w:r>
      <w:r>
        <w:rPr>
          <w:rFonts w:ascii="Times New Roman" w:hAnsi="Times New Roman" w:cs="Times New Roman"/>
          <w:sz w:val="24"/>
          <w:szCs w:val="24"/>
        </w:rPr>
        <w:t>ми</w:t>
      </w:r>
      <w:r w:rsidRPr="00B53FFB">
        <w:rPr>
          <w:rFonts w:ascii="Times New Roman" w:hAnsi="Times New Roman" w:cs="Times New Roman"/>
          <w:sz w:val="24"/>
          <w:szCs w:val="24"/>
        </w:rPr>
        <w:t xml:space="preserve"> случа</w:t>
      </w:r>
      <w:r>
        <w:rPr>
          <w:rFonts w:ascii="Times New Roman" w:hAnsi="Times New Roman" w:cs="Times New Roman"/>
          <w:sz w:val="24"/>
          <w:szCs w:val="24"/>
        </w:rPr>
        <w:t>ями</w:t>
      </w:r>
      <w:r w:rsidRPr="00B53FFB">
        <w:rPr>
          <w:rFonts w:ascii="Times New Roman" w:hAnsi="Times New Roman" w:cs="Times New Roman"/>
          <w:sz w:val="24"/>
          <w:szCs w:val="24"/>
        </w:rPr>
        <w:t xml:space="preserve"> на производстве считаются</w:t>
      </w:r>
      <w:r>
        <w:rPr>
          <w:rFonts w:ascii="Times New Roman" w:hAnsi="Times New Roman" w:cs="Times New Roman"/>
          <w:sz w:val="24"/>
          <w:szCs w:val="24"/>
        </w:rPr>
        <w:t xml:space="preserve"> </w:t>
      </w:r>
      <w:r w:rsidRPr="00B53FFB">
        <w:rPr>
          <w:rFonts w:ascii="Times New Roman" w:hAnsi="Times New Roman" w:cs="Times New Roman"/>
          <w:sz w:val="24"/>
          <w:szCs w:val="24"/>
        </w:rPr>
        <w:t>дорожны</w:t>
      </w:r>
      <w:r>
        <w:rPr>
          <w:rFonts w:ascii="Times New Roman" w:hAnsi="Times New Roman" w:cs="Times New Roman"/>
          <w:sz w:val="24"/>
          <w:szCs w:val="24"/>
        </w:rPr>
        <w:t>е</w:t>
      </w:r>
      <w:r w:rsidRPr="00B53FFB">
        <w:rPr>
          <w:rFonts w:ascii="Times New Roman" w:hAnsi="Times New Roman" w:cs="Times New Roman"/>
          <w:sz w:val="24"/>
          <w:szCs w:val="24"/>
        </w:rPr>
        <w:t>, транспортны</w:t>
      </w:r>
      <w:r>
        <w:rPr>
          <w:rFonts w:ascii="Times New Roman" w:hAnsi="Times New Roman" w:cs="Times New Roman"/>
          <w:sz w:val="24"/>
          <w:szCs w:val="24"/>
        </w:rPr>
        <w:t>е</w:t>
      </w:r>
      <w:r w:rsidRPr="00B53FFB">
        <w:rPr>
          <w:rFonts w:ascii="Times New Roman" w:hAnsi="Times New Roman" w:cs="Times New Roman"/>
          <w:sz w:val="24"/>
          <w:szCs w:val="24"/>
        </w:rPr>
        <w:t xml:space="preserve"> или дорожно-транспортны</w:t>
      </w:r>
      <w:r>
        <w:rPr>
          <w:rFonts w:ascii="Times New Roman" w:hAnsi="Times New Roman" w:cs="Times New Roman"/>
          <w:sz w:val="24"/>
          <w:szCs w:val="24"/>
        </w:rPr>
        <w:t>е</w:t>
      </w:r>
      <w:r w:rsidRPr="00B53FFB">
        <w:rPr>
          <w:rFonts w:ascii="Times New Roman" w:hAnsi="Times New Roman" w:cs="Times New Roman"/>
          <w:sz w:val="24"/>
          <w:szCs w:val="24"/>
        </w:rPr>
        <w:t xml:space="preserve"> происшествия</w:t>
      </w:r>
      <w:r>
        <w:rPr>
          <w:rFonts w:ascii="Times New Roman" w:hAnsi="Times New Roman" w:cs="Times New Roman"/>
          <w:sz w:val="24"/>
          <w:szCs w:val="24"/>
        </w:rPr>
        <w:t xml:space="preserve">, </w:t>
      </w:r>
      <w:r w:rsidRPr="00B53FFB">
        <w:rPr>
          <w:rFonts w:ascii="Times New Roman" w:hAnsi="Times New Roman" w:cs="Times New Roman"/>
          <w:sz w:val="24"/>
          <w:szCs w:val="24"/>
        </w:rPr>
        <w:t>в которых работники получают травмы и которые возникают в результате или в ходе работы, то есть во время экономической деятельности, или на работе, или при осуществлении предпринимательской деятельности работодателя.</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Профессиональная травма: любая травма, заболевание или смерть в результате несчастного случая на производстве. Профессиональная травма отличается от профессионального заболевания, которое возникает в результате воздействия на протяжении определенного периода времени факторов риска, связанных с трудовой деятельностью. Заболевания включаются только в тех случаях, когда заболевание возникло непосредственно в результате несчастного случая.</w:t>
      </w:r>
    </w:p>
    <w:p w:rsidR="00A52E73" w:rsidRPr="00534007" w:rsidRDefault="00A52E73" w:rsidP="00A52E73">
      <w:pPr>
        <w:pStyle w:val="a"/>
        <w:jc w:val="both"/>
        <w:rPr>
          <w:rFonts w:ascii="Times New Roman" w:hAnsi="Times New Roman" w:cs="Times New Roman"/>
          <w:sz w:val="24"/>
          <w:szCs w:val="24"/>
        </w:rPr>
      </w:pPr>
      <w:r w:rsidRPr="00A17E38">
        <w:rPr>
          <w:rFonts w:ascii="Times New Roman" w:hAnsi="Times New Roman" w:cs="Times New Roman"/>
          <w:sz w:val="24"/>
          <w:szCs w:val="24"/>
        </w:rPr>
        <w:t xml:space="preserve">Работники в </w:t>
      </w:r>
      <w:r>
        <w:rPr>
          <w:rFonts w:ascii="Times New Roman" w:hAnsi="Times New Roman" w:cs="Times New Roman"/>
          <w:sz w:val="24"/>
          <w:szCs w:val="24"/>
        </w:rPr>
        <w:t>контрольной</w:t>
      </w:r>
      <w:r w:rsidRPr="00A17E38">
        <w:rPr>
          <w:rFonts w:ascii="Times New Roman" w:hAnsi="Times New Roman" w:cs="Times New Roman"/>
          <w:sz w:val="24"/>
          <w:szCs w:val="24"/>
        </w:rPr>
        <w:t xml:space="preserve"> группе: работники </w:t>
      </w:r>
      <w:r>
        <w:rPr>
          <w:rFonts w:ascii="Times New Roman" w:hAnsi="Times New Roman" w:cs="Times New Roman"/>
          <w:sz w:val="24"/>
          <w:szCs w:val="24"/>
        </w:rPr>
        <w:t>контрольной</w:t>
      </w:r>
      <w:r w:rsidRPr="00A17E38">
        <w:rPr>
          <w:rFonts w:ascii="Times New Roman" w:hAnsi="Times New Roman" w:cs="Times New Roman"/>
          <w:sz w:val="24"/>
          <w:szCs w:val="24"/>
        </w:rPr>
        <w:t xml:space="preserve"> группы относятся к средней численности работников в рассматриваемой группе и охватываются источником статисти</w:t>
      </w:r>
      <w:r>
        <w:rPr>
          <w:rFonts w:ascii="Times New Roman" w:hAnsi="Times New Roman" w:cs="Times New Roman"/>
          <w:sz w:val="24"/>
          <w:szCs w:val="24"/>
        </w:rPr>
        <w:t>ческих данных</w:t>
      </w:r>
      <w:r w:rsidRPr="00A17E38">
        <w:rPr>
          <w:rFonts w:ascii="Times New Roman" w:hAnsi="Times New Roman" w:cs="Times New Roman"/>
          <w:sz w:val="24"/>
          <w:szCs w:val="24"/>
        </w:rPr>
        <w:t xml:space="preserve"> производственного травматизма </w:t>
      </w:r>
      <w:r w:rsidRPr="00534007">
        <w:rPr>
          <w:rFonts w:ascii="Times New Roman" w:hAnsi="Times New Roman" w:cs="Times New Roman"/>
          <w:sz w:val="24"/>
          <w:szCs w:val="24"/>
        </w:rPr>
        <w:t>(</w:t>
      </w:r>
      <w:r w:rsidRPr="00A17E38">
        <w:rPr>
          <w:rFonts w:ascii="Times New Roman" w:hAnsi="Times New Roman" w:cs="Times New Roman"/>
          <w:sz w:val="24"/>
          <w:szCs w:val="24"/>
        </w:rPr>
        <w:t>например, лица определенного пола или конкретного вида экономической деятельности, рода занятий, региона, возрастной группы или любой их комбинации или лица, охватываемые конкретной системой страхования, системами уведомления об авариях или обследованием домашних хозяйств или предприятий</w:t>
      </w:r>
      <w:r w:rsidRPr="00534007">
        <w:rPr>
          <w:rFonts w:ascii="Times New Roman" w:hAnsi="Times New Roman" w:cs="Times New Roman"/>
          <w:sz w:val="24"/>
          <w:szCs w:val="24"/>
        </w:rPr>
        <w:t>).</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Производственная травма со смертельным исходом: профессиональная травма, приводящая к смерти в течение одного года со дня несчастного случая на производстве.</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Случай производственной травмы со смертельным исходом: случай, когда работник получил смертельное увечье в результате одного несчастного случая на производстве и смерть наступила в течение одного года со дня несчастного случая.</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b/>
          <w:bCs/>
          <w:sz w:val="24"/>
          <w:szCs w:val="24"/>
        </w:rPr>
        <w:t>Комментарии и ограничения:</w:t>
      </w:r>
    </w:p>
    <w:p w:rsidR="00A52E73" w:rsidRPr="00534007"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Могут возникнуть проблемы с неполным представлением данных о производственных травмах, и следует создать надлежащие системы для обеспечения наилучшего представления данных и их качества</w:t>
      </w:r>
      <w:r>
        <w:rPr>
          <w:rFonts w:ascii="Times New Roman" w:hAnsi="Times New Roman" w:cs="Times New Roman"/>
          <w:sz w:val="24"/>
          <w:szCs w:val="24"/>
        </w:rPr>
        <w:t xml:space="preserve">. </w:t>
      </w:r>
      <w:r w:rsidRPr="00534007">
        <w:rPr>
          <w:rFonts w:ascii="Times New Roman" w:hAnsi="Times New Roman" w:cs="Times New Roman"/>
          <w:sz w:val="24"/>
          <w:szCs w:val="24"/>
        </w:rPr>
        <w:t>Предполагается, что отчетности присутствуют в странах на всех уровнях развития, но это может быть особенно проблематич</w:t>
      </w:r>
      <w:r>
        <w:rPr>
          <w:rFonts w:ascii="Times New Roman" w:hAnsi="Times New Roman" w:cs="Times New Roman"/>
          <w:sz w:val="24"/>
          <w:szCs w:val="24"/>
        </w:rPr>
        <w:t>но</w:t>
      </w:r>
      <w:r w:rsidRPr="00534007">
        <w:rPr>
          <w:rFonts w:ascii="Times New Roman" w:hAnsi="Times New Roman" w:cs="Times New Roman"/>
          <w:sz w:val="24"/>
          <w:szCs w:val="24"/>
        </w:rPr>
        <w:t xml:space="preserve"> в некоторых развивающихся странах. Пользователи данных должны знать об этой проблеме при анализе данных.</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 xml:space="preserve">Двойной учет случаев производственного травматизма может также иметь место в тех случаях, когда данные из нескольких реестров (например, данные, хранящиеся в </w:t>
      </w:r>
      <w:r w:rsidRPr="008300B6">
        <w:rPr>
          <w:rFonts w:ascii="Times New Roman" w:hAnsi="Times New Roman" w:cs="Times New Roman"/>
          <w:sz w:val="24"/>
          <w:szCs w:val="24"/>
        </w:rPr>
        <w:lastRenderedPageBreak/>
        <w:t>различных учреждениях) объединяются для получения более полных статистических данных.</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Поскольку могут возникать проблемы с качеством данных, анализ тенденций показателей может оказаться более актуальным, чем анализ уровней. При измерении в течение определенного периода времени эти данные могут свидетельствовать о прогрессе или ухудшении безопасности и гигиены труда и тем самым указывать на эффективность профилактических мер. Этот показатель не</w:t>
      </w:r>
      <w:r>
        <w:rPr>
          <w:rFonts w:ascii="Times New Roman" w:hAnsi="Times New Roman" w:cs="Times New Roman"/>
          <w:sz w:val="24"/>
          <w:szCs w:val="24"/>
        </w:rPr>
        <w:t>стабилен</w:t>
      </w:r>
      <w:r w:rsidRPr="008300B6">
        <w:rPr>
          <w:rFonts w:ascii="Times New Roman" w:hAnsi="Times New Roman" w:cs="Times New Roman"/>
          <w:sz w:val="24"/>
          <w:szCs w:val="24"/>
        </w:rPr>
        <w:t xml:space="preserve"> и сильные годовые колебания могут произойти из-за неожиданных, но значительных аварий или национальных катастроф.</w:t>
      </w:r>
      <w:r w:rsidRPr="008300B6">
        <w:t xml:space="preserve"> </w:t>
      </w:r>
      <w:r w:rsidRPr="008300B6">
        <w:rPr>
          <w:rFonts w:ascii="Times New Roman" w:hAnsi="Times New Roman" w:cs="Times New Roman"/>
          <w:sz w:val="24"/>
          <w:szCs w:val="24"/>
        </w:rPr>
        <w:t>Поэтому необходимо проанализировать лежащую в основе тенденцию.</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Методология</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Метод вычисления:</w:t>
      </w:r>
    </w:p>
    <w:p w:rsidR="00A52E73" w:rsidRDefault="00A52E73" w:rsidP="00A52E73">
      <w:pPr>
        <w:pStyle w:val="a"/>
        <w:jc w:val="both"/>
        <w:rPr>
          <w:rFonts w:ascii="Times New Roman" w:hAnsi="Times New Roman" w:cs="Times New Roman"/>
          <w:sz w:val="24"/>
          <w:szCs w:val="24"/>
        </w:rPr>
      </w:pPr>
      <w:r w:rsidRPr="008300B6">
        <w:rPr>
          <w:rFonts w:ascii="Times New Roman" w:hAnsi="Times New Roman" w:cs="Times New Roman"/>
          <w:sz w:val="24"/>
          <w:szCs w:val="24"/>
        </w:rPr>
        <w:t xml:space="preserve">Частота случаев смертельных и не смертельных профессиональных травм будет рассчитываться отдельно, поскольку статистика о смертельных травмах, как правило, исходит из другого источника, </w:t>
      </w:r>
      <w:r>
        <w:rPr>
          <w:rFonts w:ascii="Times New Roman" w:hAnsi="Times New Roman" w:cs="Times New Roman"/>
          <w:sz w:val="24"/>
          <w:szCs w:val="24"/>
        </w:rPr>
        <w:t>в отличие</w:t>
      </w:r>
      <w:r w:rsidRPr="008300B6">
        <w:rPr>
          <w:rFonts w:ascii="Times New Roman" w:hAnsi="Times New Roman" w:cs="Times New Roman"/>
          <w:sz w:val="24"/>
          <w:szCs w:val="24"/>
        </w:rPr>
        <w:t xml:space="preserve"> от несчастных случаев, не связанных со смертельным исходом, </w:t>
      </w:r>
      <w:r w:rsidRPr="004A407A">
        <w:rPr>
          <w:rFonts w:ascii="Times New Roman" w:hAnsi="Times New Roman" w:cs="Times New Roman"/>
          <w:sz w:val="24"/>
          <w:szCs w:val="24"/>
        </w:rPr>
        <w:t>что сделает их сумму в общем количестве несчастных случаев на производстве неточной.</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t>Частота смертельного профессионального травматизма рассчитывается как количество новых случаев смертельного исхода в течение отчетного года, деленное на общее количество часов, отработанных рабочими в контрольной группе в течение отчетного года, умноженное на 1 000</w:t>
      </w:r>
      <w:r>
        <w:rPr>
          <w:rFonts w:ascii="Times New Roman" w:hAnsi="Times New Roman" w:cs="Times New Roman"/>
          <w:sz w:val="24"/>
          <w:szCs w:val="24"/>
        </w:rPr>
        <w:t> </w:t>
      </w:r>
      <w:r w:rsidRPr="004A407A">
        <w:rPr>
          <w:rFonts w:ascii="Times New Roman" w:hAnsi="Times New Roman" w:cs="Times New Roman"/>
          <w:sz w:val="24"/>
          <w:szCs w:val="24"/>
        </w:rPr>
        <w:t>000.</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t>Аналогичным образом, частота смертельных исходов, не связанных со смертельным исходом, рассчитывается как количество новых случаев нефатальн</w:t>
      </w:r>
      <w:r>
        <w:rPr>
          <w:rFonts w:ascii="Times New Roman" w:hAnsi="Times New Roman" w:cs="Times New Roman"/>
          <w:sz w:val="24"/>
          <w:szCs w:val="24"/>
        </w:rPr>
        <w:t>ых</w:t>
      </w:r>
      <w:r w:rsidRPr="004A407A">
        <w:rPr>
          <w:rFonts w:ascii="Times New Roman" w:hAnsi="Times New Roman" w:cs="Times New Roman"/>
          <w:sz w:val="24"/>
          <w:szCs w:val="24"/>
        </w:rPr>
        <w:t xml:space="preserve"> травм в течение отчетного года, деленное на общее количество часов, отработанных рабочими в контрольной группе в течение отчетного года, умноженное на 1 000</w:t>
      </w:r>
      <w:r>
        <w:rPr>
          <w:rFonts w:ascii="Times New Roman" w:hAnsi="Times New Roman" w:cs="Times New Roman"/>
          <w:sz w:val="24"/>
          <w:szCs w:val="24"/>
        </w:rPr>
        <w:t> </w:t>
      </w:r>
      <w:r w:rsidRPr="004A407A">
        <w:rPr>
          <w:rFonts w:ascii="Times New Roman" w:hAnsi="Times New Roman" w:cs="Times New Roman"/>
          <w:sz w:val="24"/>
          <w:szCs w:val="24"/>
        </w:rPr>
        <w:t>000.</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t xml:space="preserve">В идеале знаменателем должно быть количество часов, фактически отработанных работниками в </w:t>
      </w:r>
      <w:r>
        <w:rPr>
          <w:rFonts w:ascii="Times New Roman" w:hAnsi="Times New Roman" w:cs="Times New Roman"/>
          <w:sz w:val="24"/>
          <w:szCs w:val="24"/>
        </w:rPr>
        <w:t>контрольной</w:t>
      </w:r>
      <w:r w:rsidRPr="004A407A">
        <w:rPr>
          <w:rFonts w:ascii="Times New Roman" w:hAnsi="Times New Roman" w:cs="Times New Roman"/>
          <w:sz w:val="24"/>
          <w:szCs w:val="24"/>
        </w:rPr>
        <w:t xml:space="preserve"> группе. В тех случаях, когда это невозможно, знаменатель может быть рассчитан на основе обычных часов работы с учетом прав на периоды оплачиваемого отсутствия на работе, такие, как оплачиваемые отпуска, оплачиваемые отпуска по болезни и праздничные дни.</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t>Если данные, необходимые для расчета частоты</w:t>
      </w:r>
      <w:r>
        <w:rPr>
          <w:rFonts w:ascii="Times New Roman" w:hAnsi="Times New Roman" w:cs="Times New Roman"/>
          <w:sz w:val="24"/>
          <w:szCs w:val="24"/>
        </w:rPr>
        <w:t>,</w:t>
      </w:r>
      <w:r w:rsidRPr="004A407A">
        <w:rPr>
          <w:rFonts w:ascii="Times New Roman" w:hAnsi="Times New Roman" w:cs="Times New Roman"/>
          <w:sz w:val="24"/>
          <w:szCs w:val="24"/>
        </w:rPr>
        <w:t xml:space="preserve"> недоступны, вместо этого могут рассчитываться коэффициенты заболеваемости. Уровень смертности от профессиональных травм рассчитывается как число новых случаев смертельного исхода в течение отчетного года, деленное на среднее число работников в контрольной группе в течение отчетного года, умноженное на 100</w:t>
      </w:r>
      <w:r>
        <w:rPr>
          <w:rFonts w:ascii="Times New Roman" w:hAnsi="Times New Roman" w:cs="Times New Roman"/>
          <w:sz w:val="24"/>
          <w:szCs w:val="24"/>
        </w:rPr>
        <w:t> </w:t>
      </w:r>
      <w:r w:rsidRPr="004A407A">
        <w:rPr>
          <w:rFonts w:ascii="Times New Roman" w:hAnsi="Times New Roman" w:cs="Times New Roman"/>
          <w:sz w:val="24"/>
          <w:szCs w:val="24"/>
        </w:rPr>
        <w:t>000.</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t xml:space="preserve">Аналогичным образом, коэффициент распространенности несмертельного производственного травматизма рассчитывается как число новых случаев несмертельного травматизма в течение базисного года, деленное на среднее число работников в </w:t>
      </w:r>
      <w:r>
        <w:rPr>
          <w:rFonts w:ascii="Times New Roman" w:hAnsi="Times New Roman" w:cs="Times New Roman"/>
          <w:sz w:val="24"/>
          <w:szCs w:val="24"/>
        </w:rPr>
        <w:t>контрольной</w:t>
      </w:r>
      <w:r w:rsidRPr="004A407A">
        <w:rPr>
          <w:rFonts w:ascii="Times New Roman" w:hAnsi="Times New Roman" w:cs="Times New Roman"/>
          <w:sz w:val="24"/>
          <w:szCs w:val="24"/>
        </w:rPr>
        <w:t xml:space="preserve"> группе за базисный год, умноженное на 100</w:t>
      </w:r>
      <w:r>
        <w:rPr>
          <w:rFonts w:ascii="Times New Roman" w:hAnsi="Times New Roman" w:cs="Times New Roman"/>
          <w:sz w:val="24"/>
          <w:szCs w:val="24"/>
        </w:rPr>
        <w:t> </w:t>
      </w:r>
      <w:r w:rsidRPr="004A407A">
        <w:rPr>
          <w:rFonts w:ascii="Times New Roman" w:hAnsi="Times New Roman" w:cs="Times New Roman"/>
          <w:sz w:val="24"/>
          <w:szCs w:val="24"/>
        </w:rPr>
        <w:t>000.</w:t>
      </w:r>
    </w:p>
    <w:p w:rsidR="00A52E73" w:rsidRDefault="00A52E73" w:rsidP="00A52E73">
      <w:pPr>
        <w:pStyle w:val="a"/>
        <w:jc w:val="both"/>
        <w:rPr>
          <w:rFonts w:ascii="Times New Roman" w:hAnsi="Times New Roman" w:cs="Times New Roman"/>
          <w:sz w:val="24"/>
          <w:szCs w:val="24"/>
        </w:rPr>
      </w:pPr>
      <w:r w:rsidRPr="004A407A">
        <w:rPr>
          <w:rFonts w:ascii="Times New Roman" w:hAnsi="Times New Roman" w:cs="Times New Roman"/>
          <w:sz w:val="24"/>
          <w:szCs w:val="24"/>
        </w:rPr>
        <w:lastRenderedPageBreak/>
        <w:t xml:space="preserve">При расчете средней численности работников число работников, занятых неполный рабочий день, следует преобразовать в эквиваленты полной занятости. Для расчета </w:t>
      </w:r>
      <w:r>
        <w:rPr>
          <w:rFonts w:ascii="Times New Roman" w:hAnsi="Times New Roman" w:cs="Times New Roman"/>
          <w:sz w:val="24"/>
          <w:szCs w:val="24"/>
        </w:rPr>
        <w:t>коэффициента</w:t>
      </w:r>
      <w:r w:rsidRPr="004A407A">
        <w:rPr>
          <w:rFonts w:ascii="Times New Roman" w:hAnsi="Times New Roman" w:cs="Times New Roman"/>
          <w:sz w:val="24"/>
          <w:szCs w:val="24"/>
        </w:rPr>
        <w:t>, числитель и знаменатель должны иметь одинаков</w:t>
      </w:r>
      <w:r>
        <w:rPr>
          <w:rFonts w:ascii="Times New Roman" w:hAnsi="Times New Roman" w:cs="Times New Roman"/>
          <w:sz w:val="24"/>
          <w:szCs w:val="24"/>
        </w:rPr>
        <w:t>ый охват</w:t>
      </w:r>
      <w:r w:rsidRPr="004A407A">
        <w:rPr>
          <w:rFonts w:ascii="Times New Roman" w:hAnsi="Times New Roman" w:cs="Times New Roman"/>
          <w:sz w:val="24"/>
          <w:szCs w:val="24"/>
        </w:rPr>
        <w:t>. Например, если самозанятые лица не охвачены источником статистических данных о травмах со смертельным исходом на производстве, их также следует исключить из знаменателя.</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Дезагрегация:</w:t>
      </w:r>
    </w:p>
    <w:p w:rsidR="00A52E73" w:rsidRDefault="00A52E73" w:rsidP="00A52E73">
      <w:pPr>
        <w:pStyle w:val="a"/>
        <w:jc w:val="both"/>
        <w:rPr>
          <w:rFonts w:ascii="Times New Roman" w:hAnsi="Times New Roman" w:cs="Times New Roman"/>
          <w:sz w:val="24"/>
          <w:szCs w:val="24"/>
        </w:rPr>
      </w:pPr>
      <w:r w:rsidRPr="00874EC9">
        <w:rPr>
          <w:rFonts w:ascii="Times New Roman" w:hAnsi="Times New Roman" w:cs="Times New Roman"/>
          <w:sz w:val="24"/>
          <w:szCs w:val="24"/>
        </w:rPr>
        <w:t>Этот показатель должен быть дезагрегирован по признаку пола и статуса мигрантов. Там, где это возможно, было бы также полезно иметь информацию, дезагрегированную по видам экономической деятельности и занятости.</w:t>
      </w:r>
    </w:p>
    <w:p w:rsidR="00A52E73" w:rsidRDefault="00A52E73" w:rsidP="00A52E73">
      <w:pPr>
        <w:pStyle w:val="a"/>
        <w:jc w:val="both"/>
        <w:rPr>
          <w:rFonts w:ascii="Times New Roman" w:hAnsi="Times New Roman" w:cs="Times New Roman"/>
          <w:b/>
          <w:sz w:val="24"/>
          <w:szCs w:val="24"/>
        </w:rPr>
      </w:pPr>
      <w:r w:rsidRPr="00874EC9">
        <w:rPr>
          <w:rFonts w:ascii="Times New Roman" w:hAnsi="Times New Roman" w:cs="Times New Roman"/>
          <w:b/>
          <w:sz w:val="24"/>
          <w:szCs w:val="24"/>
        </w:rPr>
        <w:t>Имеющиеся в распоряжении стран методы и руководящие указания для сбора данных на национальном уровне:</w:t>
      </w:r>
    </w:p>
    <w:p w:rsidR="00A52E73" w:rsidRDefault="00A52E73" w:rsidP="00A52E73">
      <w:pPr>
        <w:pStyle w:val="a"/>
        <w:jc w:val="both"/>
        <w:rPr>
          <w:rFonts w:ascii="Times New Roman" w:hAnsi="Times New Roman" w:cs="Times New Roman"/>
          <w:sz w:val="24"/>
          <w:szCs w:val="24"/>
        </w:rPr>
      </w:pPr>
      <w:r w:rsidRPr="00874EC9">
        <w:rPr>
          <w:rFonts w:ascii="Times New Roman" w:hAnsi="Times New Roman" w:cs="Times New Roman"/>
          <w:sz w:val="24"/>
          <w:szCs w:val="24"/>
        </w:rPr>
        <w:t xml:space="preserve">Этот показатель может </w:t>
      </w:r>
      <w:r>
        <w:rPr>
          <w:rFonts w:ascii="Times New Roman" w:hAnsi="Times New Roman" w:cs="Times New Roman"/>
          <w:sz w:val="24"/>
          <w:szCs w:val="24"/>
        </w:rPr>
        <w:t>поступат</w:t>
      </w:r>
      <w:r w:rsidRPr="00874EC9">
        <w:rPr>
          <w:rFonts w:ascii="Times New Roman" w:hAnsi="Times New Roman" w:cs="Times New Roman"/>
          <w:sz w:val="24"/>
          <w:szCs w:val="24"/>
        </w:rPr>
        <w:t>ь из различных источников на национальном уровне, включая различные виды административных записей (страховые записи, записи инспекции труда и т</w:t>
      </w:r>
      <w:r>
        <w:rPr>
          <w:rFonts w:ascii="Times New Roman" w:hAnsi="Times New Roman" w:cs="Times New Roman"/>
          <w:sz w:val="24"/>
          <w:szCs w:val="24"/>
        </w:rPr>
        <w:t>.д</w:t>
      </w:r>
      <w:r w:rsidRPr="00874EC9">
        <w:rPr>
          <w:rFonts w:ascii="Times New Roman" w:hAnsi="Times New Roman" w:cs="Times New Roman"/>
          <w:sz w:val="24"/>
          <w:szCs w:val="24"/>
        </w:rPr>
        <w:t xml:space="preserve">.), </w:t>
      </w:r>
      <w:r>
        <w:rPr>
          <w:rFonts w:ascii="Times New Roman" w:hAnsi="Times New Roman" w:cs="Times New Roman"/>
          <w:sz w:val="24"/>
          <w:szCs w:val="24"/>
        </w:rPr>
        <w:t>о</w:t>
      </w:r>
      <w:r w:rsidRPr="00874EC9">
        <w:rPr>
          <w:rFonts w:ascii="Times New Roman" w:hAnsi="Times New Roman" w:cs="Times New Roman"/>
          <w:sz w:val="24"/>
          <w:szCs w:val="24"/>
        </w:rPr>
        <w:t xml:space="preserve">бследования домашних хозяйств и обследования </w:t>
      </w:r>
      <w:r>
        <w:rPr>
          <w:rFonts w:ascii="Times New Roman" w:hAnsi="Times New Roman" w:cs="Times New Roman"/>
          <w:sz w:val="24"/>
          <w:szCs w:val="24"/>
        </w:rPr>
        <w:t>предприятий</w:t>
      </w:r>
      <w:r w:rsidRPr="00874EC9">
        <w:rPr>
          <w:rFonts w:ascii="Times New Roman" w:hAnsi="Times New Roman" w:cs="Times New Roman"/>
          <w:sz w:val="24"/>
          <w:szCs w:val="24"/>
        </w:rPr>
        <w:t>.</w:t>
      </w:r>
    </w:p>
    <w:p w:rsidR="00A52E73" w:rsidRDefault="00A52E73" w:rsidP="00A52E73">
      <w:pPr>
        <w:pStyle w:val="Default"/>
        <w:numPr>
          <w:ilvl w:val="0"/>
          <w:numId w:val="1"/>
        </w:numPr>
      </w:pPr>
      <w:r w:rsidRPr="00874EC9">
        <w:rPr>
          <w:rFonts w:ascii="Times New Roman" w:hAnsi="Times New Roman" w:cs="Times New Roman"/>
        </w:rPr>
        <w:t>Руководство МОТ-показатели, концепции и определения достойного труда-Глава 9, безопасные условия труда</w:t>
      </w:r>
      <w:r>
        <w:rPr>
          <w:rFonts w:ascii="Times New Roman" w:hAnsi="Times New Roman" w:cs="Times New Roman"/>
        </w:rPr>
        <w:t xml:space="preserve"> </w:t>
      </w:r>
    </w:p>
    <w:p w:rsidR="00A52E73" w:rsidRPr="00874EC9" w:rsidRDefault="00A52E73" w:rsidP="00A52E73">
      <w:pPr>
        <w:pStyle w:val="Default"/>
        <w:ind w:left="720"/>
        <w:jc w:val="both"/>
        <w:rPr>
          <w:rFonts w:ascii="Times New Roman" w:hAnsi="Times New Roman" w:cs="Times New Roman"/>
          <w:sz w:val="32"/>
        </w:rPr>
      </w:pPr>
      <w:hyperlink r:id="rId6" w:history="1">
        <w:r w:rsidRPr="00874EC9">
          <w:rPr>
            <w:rStyle w:val="Hyperlink"/>
            <w:rFonts w:ascii="Times New Roman" w:hAnsi="Times New Roman" w:cs="Times New Roman"/>
            <w:szCs w:val="21"/>
          </w:rPr>
          <w:t>http://www.ilo.org/integration/resources/pubs/WCMS_229374/lang--en/index.htm</w:t>
        </w:r>
      </w:hyperlink>
      <w:r w:rsidRPr="00874EC9">
        <w:rPr>
          <w:rFonts w:ascii="Times New Roman" w:hAnsi="Times New Roman" w:cs="Times New Roman"/>
          <w:szCs w:val="21"/>
        </w:rPr>
        <w:t xml:space="preserve"> </w:t>
      </w:r>
    </w:p>
    <w:p w:rsidR="00A52E73" w:rsidRPr="00874EC9" w:rsidRDefault="00A52E73" w:rsidP="00A52E73">
      <w:pPr>
        <w:pStyle w:val="Default"/>
        <w:ind w:left="720"/>
        <w:jc w:val="both"/>
        <w:rPr>
          <w:rFonts w:ascii="Times New Roman" w:hAnsi="Times New Roman" w:cs="Times New Roman"/>
          <w:szCs w:val="21"/>
        </w:rPr>
      </w:pPr>
      <w:r w:rsidRPr="00874EC9">
        <w:rPr>
          <w:rFonts w:ascii="Times New Roman" w:hAnsi="Times New Roman" w:cs="Times New Roman"/>
          <w:szCs w:val="21"/>
        </w:rPr>
        <w:t xml:space="preserve">(первая версия, с. 135) </w:t>
      </w:r>
    </w:p>
    <w:p w:rsidR="00A52E73" w:rsidRPr="00874EC9" w:rsidRDefault="00A52E73" w:rsidP="00A52E73">
      <w:pPr>
        <w:pStyle w:val="Default"/>
        <w:ind w:firstLine="120"/>
        <w:jc w:val="both"/>
        <w:rPr>
          <w:rFonts w:ascii="Times New Roman" w:hAnsi="Times New Roman" w:cs="Times New Roman"/>
          <w:szCs w:val="21"/>
        </w:rPr>
      </w:pPr>
    </w:p>
    <w:p w:rsidR="00A52E73" w:rsidRPr="00874EC9" w:rsidRDefault="00A52E73" w:rsidP="00A52E73">
      <w:pPr>
        <w:pStyle w:val="Default"/>
        <w:numPr>
          <w:ilvl w:val="0"/>
          <w:numId w:val="1"/>
        </w:numPr>
        <w:jc w:val="both"/>
        <w:rPr>
          <w:rFonts w:ascii="Times New Roman" w:hAnsi="Times New Roman" w:cs="Times New Roman"/>
          <w:szCs w:val="21"/>
        </w:rPr>
      </w:pPr>
      <w:r w:rsidRPr="00874EC9">
        <w:rPr>
          <w:rFonts w:ascii="Times New Roman" w:hAnsi="Times New Roman" w:cs="Times New Roman"/>
          <w:szCs w:val="21"/>
        </w:rPr>
        <w:t xml:space="preserve">Резолюция о статистике производственного травматизма (в результате несчастных случаев на производстве) </w:t>
      </w:r>
      <w:hyperlink r:id="rId7" w:history="1">
        <w:r w:rsidRPr="00874EC9">
          <w:rPr>
            <w:rStyle w:val="Hyperlink"/>
            <w:rFonts w:ascii="Times New Roman" w:hAnsi="Times New Roman" w:cs="Times New Roman"/>
            <w:szCs w:val="21"/>
          </w:rPr>
          <w:t>http://www.ilo.org/global/statistics-and-databases/standards-and-guidelines/resolutions-adopted-by-international-conferences-of-labour-statisticians/WCMS_087528/lang--en/index.htm</w:t>
        </w:r>
      </w:hyperlink>
      <w:r w:rsidRPr="00874EC9">
        <w:rPr>
          <w:rFonts w:ascii="Times New Roman" w:hAnsi="Times New Roman" w:cs="Times New Roman"/>
          <w:szCs w:val="21"/>
        </w:rPr>
        <w:t xml:space="preserve"> </w:t>
      </w:r>
    </w:p>
    <w:p w:rsidR="00A52E73" w:rsidRDefault="00A52E73" w:rsidP="00A52E73">
      <w:pPr>
        <w:pStyle w:val="Default"/>
        <w:rPr>
          <w:sz w:val="21"/>
          <w:szCs w:val="21"/>
        </w:rPr>
      </w:pPr>
    </w:p>
    <w:p w:rsidR="00A52E73" w:rsidRDefault="00A52E73" w:rsidP="00A52E73">
      <w:pPr>
        <w:pStyle w:val="Default"/>
        <w:numPr>
          <w:ilvl w:val="0"/>
          <w:numId w:val="1"/>
        </w:numPr>
      </w:pPr>
      <w:r w:rsidRPr="00874EC9">
        <w:rPr>
          <w:rFonts w:ascii="Times New Roman" w:hAnsi="Times New Roman" w:cs="Times New Roman"/>
          <w:szCs w:val="21"/>
        </w:rPr>
        <w:t>Глобальная база данных по законодатель</w:t>
      </w:r>
      <w:r>
        <w:rPr>
          <w:rFonts w:ascii="Times New Roman" w:hAnsi="Times New Roman" w:cs="Times New Roman"/>
          <w:szCs w:val="21"/>
        </w:rPr>
        <w:t>ному обеспечению</w:t>
      </w:r>
      <w:r w:rsidRPr="00874EC9">
        <w:rPr>
          <w:rFonts w:ascii="Times New Roman" w:hAnsi="Times New Roman" w:cs="Times New Roman"/>
          <w:szCs w:val="21"/>
        </w:rPr>
        <w:t xml:space="preserve"> безопасности и гигиен</w:t>
      </w:r>
      <w:r>
        <w:rPr>
          <w:rFonts w:ascii="Times New Roman" w:hAnsi="Times New Roman" w:cs="Times New Roman"/>
          <w:szCs w:val="21"/>
        </w:rPr>
        <w:t>ы</w:t>
      </w:r>
      <w:r w:rsidRPr="00874EC9">
        <w:rPr>
          <w:rFonts w:ascii="Times New Roman" w:hAnsi="Times New Roman" w:cs="Times New Roman"/>
          <w:szCs w:val="21"/>
        </w:rPr>
        <w:t xml:space="preserve"> труда </w:t>
      </w:r>
      <w:r>
        <w:rPr>
          <w:rFonts w:ascii="Times New Roman" w:hAnsi="Times New Roman" w:cs="Times New Roman"/>
          <w:szCs w:val="21"/>
        </w:rPr>
        <w:t>–</w:t>
      </w:r>
      <w:r w:rsidRPr="00874EC9">
        <w:rPr>
          <w:rFonts w:ascii="Times New Roman" w:hAnsi="Times New Roman" w:cs="Times New Roman"/>
          <w:szCs w:val="21"/>
        </w:rPr>
        <w:t xml:space="preserve"> LEGOSH</w:t>
      </w:r>
      <w:r>
        <w:rPr>
          <w:rFonts w:ascii="Times New Roman" w:hAnsi="Times New Roman" w:cs="Times New Roman"/>
          <w:szCs w:val="21"/>
        </w:rPr>
        <w:t xml:space="preserve"> </w:t>
      </w:r>
    </w:p>
    <w:p w:rsidR="00A52E73" w:rsidRPr="00874EC9" w:rsidRDefault="00A52E73" w:rsidP="00A52E73">
      <w:pPr>
        <w:pStyle w:val="Default"/>
        <w:ind w:left="720"/>
        <w:rPr>
          <w:rFonts w:ascii="Times New Roman" w:hAnsi="Times New Roman" w:cs="Times New Roman"/>
          <w:szCs w:val="21"/>
        </w:rPr>
      </w:pPr>
      <w:hyperlink r:id="rId8" w:history="1">
        <w:r w:rsidRPr="00874EC9">
          <w:rPr>
            <w:rStyle w:val="Hyperlink"/>
            <w:rFonts w:ascii="Times New Roman" w:hAnsi="Times New Roman" w:cs="Times New Roman"/>
            <w:szCs w:val="21"/>
          </w:rPr>
          <w:t>http://www.ilo.org/safework/info/publications/WCMS_217849/lang--en/index.htm</w:t>
        </w:r>
      </w:hyperlink>
      <w:r w:rsidRPr="00874EC9">
        <w:rPr>
          <w:rFonts w:ascii="Times New Roman" w:hAnsi="Times New Roman" w:cs="Times New Roman"/>
          <w:szCs w:val="21"/>
        </w:rPr>
        <w:t xml:space="preserve">   </w:t>
      </w:r>
    </w:p>
    <w:p w:rsidR="00A52E73" w:rsidRDefault="00A52E73" w:rsidP="00A52E73">
      <w:pPr>
        <w:pStyle w:val="Default"/>
        <w:ind w:firstLine="75"/>
        <w:jc w:val="both"/>
        <w:rPr>
          <w:rFonts w:ascii="Times New Roman" w:hAnsi="Times New Roman" w:cs="Times New Roman"/>
          <w:sz w:val="32"/>
          <w:szCs w:val="21"/>
        </w:rPr>
      </w:pPr>
    </w:p>
    <w:p w:rsidR="00A52E73" w:rsidRPr="00874EC9" w:rsidRDefault="00A52E73" w:rsidP="00A52E73">
      <w:pPr>
        <w:pStyle w:val="Default"/>
        <w:numPr>
          <w:ilvl w:val="0"/>
          <w:numId w:val="1"/>
        </w:numPr>
        <w:jc w:val="both"/>
        <w:rPr>
          <w:rFonts w:ascii="Times New Roman" w:hAnsi="Times New Roman" w:cs="Times New Roman"/>
          <w:sz w:val="20"/>
          <w:szCs w:val="21"/>
        </w:rPr>
      </w:pPr>
      <w:r w:rsidRPr="00874EC9">
        <w:rPr>
          <w:rFonts w:ascii="Times New Roman" w:hAnsi="Times New Roman" w:cs="Times New Roman"/>
          <w:szCs w:val="21"/>
        </w:rPr>
        <w:t>Статистика производственного травматизма на основе обследований домашних хозяйств и обследований предприятий</w:t>
      </w:r>
      <w:r>
        <w:rPr>
          <w:rFonts w:ascii="Times New Roman" w:hAnsi="Times New Roman" w:cs="Times New Roman"/>
          <w:szCs w:val="21"/>
        </w:rPr>
        <w:t xml:space="preserve"> </w:t>
      </w:r>
      <w:hyperlink r:id="rId9" w:history="1">
        <w:r w:rsidRPr="007F3557">
          <w:rPr>
            <w:rStyle w:val="Hyperlink"/>
            <w:rFonts w:ascii="Times New Roman" w:hAnsi="Times New Roman" w:cs="Times New Roman"/>
            <w:szCs w:val="21"/>
          </w:rPr>
          <w:t>http://www.ilo.org/stat/Publications/WCMS_173153/lang--en/index.htm</w:t>
        </w:r>
      </w:hyperlink>
      <w:r>
        <w:rPr>
          <w:rFonts w:ascii="Times New Roman" w:hAnsi="Times New Roman" w:cs="Times New Roman"/>
          <w:szCs w:val="21"/>
        </w:rPr>
        <w:t xml:space="preserve"> </w:t>
      </w:r>
    </w:p>
    <w:p w:rsidR="00A52E73" w:rsidRDefault="00A52E73" w:rsidP="00A52E73">
      <w:pPr>
        <w:pStyle w:val="Default"/>
        <w:rPr>
          <w:sz w:val="21"/>
          <w:szCs w:val="21"/>
        </w:rPr>
      </w:pPr>
    </w:p>
    <w:p w:rsidR="00A52E73" w:rsidRPr="00C77C0B" w:rsidRDefault="00A52E73" w:rsidP="00A52E73">
      <w:pPr>
        <w:pStyle w:val="a"/>
        <w:jc w:val="both"/>
        <w:rPr>
          <w:rFonts w:ascii="Times New Roman" w:hAnsi="Times New Roman" w:cs="Times New Roman"/>
          <w:b/>
          <w:bCs/>
          <w:sz w:val="24"/>
          <w:szCs w:val="24"/>
        </w:rPr>
      </w:pPr>
      <w:r w:rsidRPr="00C77C0B">
        <w:rPr>
          <w:rFonts w:ascii="Times New Roman" w:hAnsi="Times New Roman" w:cs="Times New Roman"/>
          <w:b/>
          <w:bCs/>
          <w:sz w:val="24"/>
          <w:szCs w:val="24"/>
        </w:rPr>
        <w:t>Гарантия качества</w:t>
      </w:r>
    </w:p>
    <w:p w:rsidR="00A52E73" w:rsidRPr="00C77C0B" w:rsidRDefault="00A52E73" w:rsidP="00A52E73">
      <w:pPr>
        <w:pStyle w:val="a"/>
        <w:jc w:val="both"/>
        <w:rPr>
          <w:rFonts w:ascii="Times New Roman" w:hAnsi="Times New Roman" w:cs="Times New Roman"/>
          <w:sz w:val="24"/>
          <w:szCs w:val="24"/>
        </w:rPr>
      </w:pPr>
      <w:r w:rsidRPr="00C77C0B">
        <w:rPr>
          <w:rFonts w:ascii="Times New Roman" w:hAnsi="Times New Roman" w:cs="Times New Roman"/>
          <w:sz w:val="24"/>
          <w:szCs w:val="24"/>
        </w:rPr>
        <w:t>Проверки согласованности данных и проверки качества, регулярно проводятся для подтверждения данных до их распространения в базе данных МОТСТАТ.</w:t>
      </w:r>
    </w:p>
    <w:p w:rsidR="00A52E73" w:rsidRPr="00534007" w:rsidRDefault="00A52E73" w:rsidP="00A52E73">
      <w:pPr>
        <w:pStyle w:val="a"/>
        <w:jc w:val="both"/>
        <w:rPr>
          <w:rFonts w:ascii="Times New Roman" w:hAnsi="Times New Roman" w:cs="Times New Roman"/>
          <w:sz w:val="24"/>
          <w:szCs w:val="24"/>
        </w:rPr>
      </w:pPr>
      <w:r w:rsidRPr="00C77C0B">
        <w:rPr>
          <w:rFonts w:ascii="Times New Roman" w:hAnsi="Times New Roman" w:cs="Times New Roman"/>
          <w:sz w:val="24"/>
          <w:szCs w:val="24"/>
        </w:rPr>
        <w:t>Данные пред</w:t>
      </w:r>
      <w:r>
        <w:rPr>
          <w:rFonts w:ascii="Times New Roman" w:hAnsi="Times New Roman" w:cs="Times New Roman"/>
          <w:sz w:val="24"/>
          <w:szCs w:val="24"/>
        </w:rPr>
        <w:t>оставляются</w:t>
      </w:r>
      <w:r w:rsidRPr="00C77C0B">
        <w:rPr>
          <w:rFonts w:ascii="Times New Roman" w:hAnsi="Times New Roman" w:cs="Times New Roman"/>
          <w:sz w:val="24"/>
          <w:szCs w:val="24"/>
        </w:rPr>
        <w:t xml:space="preserve"> Департаменту статистики МОТ через его ежегодный вопросник по статистике труда, национальными статистическими управлениями, министерствами труда или другими соответствующими национальными учреждениями.</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Источники данных</w:t>
      </w:r>
    </w:p>
    <w:p w:rsidR="00A52E73" w:rsidRDefault="00A52E73" w:rsidP="00A52E73">
      <w:pPr>
        <w:pStyle w:val="a"/>
        <w:jc w:val="both"/>
        <w:rPr>
          <w:rFonts w:ascii="Times New Roman" w:hAnsi="Times New Roman" w:cs="Times New Roman"/>
          <w:sz w:val="24"/>
          <w:szCs w:val="24"/>
        </w:rPr>
      </w:pPr>
      <w:r w:rsidRPr="00874EC9">
        <w:rPr>
          <w:rFonts w:ascii="Times New Roman" w:hAnsi="Times New Roman" w:cs="Times New Roman"/>
          <w:sz w:val="24"/>
          <w:szCs w:val="24"/>
        </w:rPr>
        <w:t>Рекомендуемыми источниками данных являются различные типы административных записей, такие, как записи национальных систем уведомления о производственных травмах (отчеты трудовых инспекци</w:t>
      </w:r>
      <w:r>
        <w:rPr>
          <w:rFonts w:ascii="Times New Roman" w:hAnsi="Times New Roman" w:cs="Times New Roman"/>
          <w:sz w:val="24"/>
          <w:szCs w:val="24"/>
        </w:rPr>
        <w:t>й</w:t>
      </w:r>
      <w:r w:rsidRPr="00874EC9">
        <w:rPr>
          <w:rFonts w:ascii="Times New Roman" w:hAnsi="Times New Roman" w:cs="Times New Roman"/>
          <w:sz w:val="24"/>
          <w:szCs w:val="24"/>
        </w:rPr>
        <w:t xml:space="preserve"> и ежегодные отчеты; страховые и компенсационные </w:t>
      </w:r>
      <w:r w:rsidRPr="00874EC9">
        <w:rPr>
          <w:rFonts w:ascii="Times New Roman" w:hAnsi="Times New Roman" w:cs="Times New Roman"/>
          <w:sz w:val="24"/>
          <w:szCs w:val="24"/>
        </w:rPr>
        <w:lastRenderedPageBreak/>
        <w:t>записи, регистры смерти), дополняемые обследованиями домашних хозяйств (особенно для охвата предприятий неформального сектора и самозанятых) и/или обследованиями предприятий.</w:t>
      </w:r>
    </w:p>
    <w:p w:rsidR="00A52E73" w:rsidRDefault="00A52E73" w:rsidP="00A52E73">
      <w:pPr>
        <w:pStyle w:val="a"/>
        <w:jc w:val="both"/>
        <w:rPr>
          <w:rFonts w:ascii="Times New Roman" w:hAnsi="Times New Roman" w:cs="Times New Roman"/>
          <w:sz w:val="24"/>
          <w:szCs w:val="24"/>
        </w:rPr>
      </w:pPr>
      <w:r w:rsidRPr="00C74A23">
        <w:rPr>
          <w:rFonts w:ascii="Times New Roman" w:hAnsi="Times New Roman" w:cs="Times New Roman"/>
          <w:sz w:val="24"/>
          <w:szCs w:val="24"/>
        </w:rPr>
        <w:t>В метаданных должно быть четко указано (i), относятся ли статистические данные к случаям производственного травматизма (к системе уведомления о несчастных случаях или к схеме компенсации несчастных случаев), компенсируются (по схеме страхования от несчастного случая) или идентифицир</w:t>
      </w:r>
      <w:r>
        <w:rPr>
          <w:rFonts w:ascii="Times New Roman" w:hAnsi="Times New Roman" w:cs="Times New Roman"/>
          <w:sz w:val="24"/>
          <w:szCs w:val="24"/>
        </w:rPr>
        <w:t>ованы каким-либо иным образом (</w:t>
      </w:r>
      <w:r w:rsidRPr="00C74A23">
        <w:rPr>
          <w:rFonts w:ascii="Times New Roman" w:hAnsi="Times New Roman" w:cs="Times New Roman"/>
          <w:sz w:val="24"/>
          <w:szCs w:val="24"/>
        </w:rPr>
        <w:t>например, путем обследования домашних хозяйств или учреждений) и (ii) исключены ли случаи профессиональн</w:t>
      </w:r>
      <w:r>
        <w:rPr>
          <w:rFonts w:ascii="Times New Roman" w:hAnsi="Times New Roman" w:cs="Times New Roman"/>
          <w:sz w:val="24"/>
          <w:szCs w:val="24"/>
        </w:rPr>
        <w:t>ых</w:t>
      </w:r>
      <w:r w:rsidRPr="00C74A23">
        <w:rPr>
          <w:rFonts w:ascii="Times New Roman" w:hAnsi="Times New Roman" w:cs="Times New Roman"/>
          <w:sz w:val="24"/>
          <w:szCs w:val="24"/>
        </w:rPr>
        <w:t xml:space="preserve"> заболевани</w:t>
      </w:r>
      <w:r>
        <w:rPr>
          <w:rFonts w:ascii="Times New Roman" w:hAnsi="Times New Roman" w:cs="Times New Roman"/>
          <w:sz w:val="24"/>
          <w:szCs w:val="24"/>
        </w:rPr>
        <w:t>й</w:t>
      </w:r>
      <w:r w:rsidRPr="00C74A23">
        <w:rPr>
          <w:rFonts w:ascii="Times New Roman" w:hAnsi="Times New Roman" w:cs="Times New Roman"/>
          <w:sz w:val="24"/>
          <w:szCs w:val="24"/>
        </w:rPr>
        <w:t xml:space="preserve"> и случаи травмирования из-за несчастных случаев на дороге, как рекомендовано.</w:t>
      </w:r>
    </w:p>
    <w:p w:rsidR="00A52E73" w:rsidRPr="00C74A23" w:rsidRDefault="00A52E73" w:rsidP="00A52E73">
      <w:pPr>
        <w:pStyle w:val="a"/>
        <w:jc w:val="both"/>
        <w:rPr>
          <w:rFonts w:ascii="Times New Roman" w:hAnsi="Times New Roman" w:cs="Times New Roman"/>
          <w:b/>
          <w:bCs/>
          <w:sz w:val="24"/>
          <w:szCs w:val="24"/>
        </w:rPr>
      </w:pPr>
      <w:r w:rsidRPr="00C74A23">
        <w:rPr>
          <w:rFonts w:ascii="Times New Roman" w:hAnsi="Times New Roman" w:cs="Times New Roman"/>
          <w:b/>
          <w:bCs/>
          <w:sz w:val="24"/>
          <w:szCs w:val="24"/>
        </w:rPr>
        <w:t>Доступность данных</w:t>
      </w:r>
    </w:p>
    <w:p w:rsidR="00A52E73" w:rsidRDefault="00A52E73" w:rsidP="00A52E73">
      <w:pPr>
        <w:pStyle w:val="a"/>
        <w:jc w:val="both"/>
        <w:rPr>
          <w:rFonts w:ascii="Times New Roman" w:hAnsi="Times New Roman" w:cs="Times New Roman"/>
          <w:sz w:val="24"/>
          <w:szCs w:val="24"/>
        </w:rPr>
      </w:pPr>
      <w:r w:rsidRPr="00C74A23">
        <w:rPr>
          <w:rFonts w:ascii="Times New Roman" w:hAnsi="Times New Roman" w:cs="Times New Roman"/>
          <w:sz w:val="24"/>
          <w:szCs w:val="24"/>
        </w:rPr>
        <w:t>МОТ располагает данными о частоте смертельных профессиональных травм в 117 странах; а также о частоте травматизма, не связанного со смертельным исходом, для 89 стран.</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Календарь</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Сбор информации:</w:t>
      </w:r>
    </w:p>
    <w:p w:rsidR="00A52E73" w:rsidRDefault="00A52E73" w:rsidP="00A52E73">
      <w:pPr>
        <w:pStyle w:val="a"/>
        <w:jc w:val="both"/>
        <w:rPr>
          <w:rFonts w:ascii="Times New Roman" w:hAnsi="Times New Roman" w:cs="Times New Roman"/>
          <w:sz w:val="24"/>
          <w:szCs w:val="24"/>
        </w:rPr>
      </w:pPr>
      <w:r w:rsidRPr="00C74A23">
        <w:rPr>
          <w:rFonts w:ascii="Times New Roman" w:hAnsi="Times New Roman" w:cs="Times New Roman"/>
          <w:sz w:val="24"/>
          <w:szCs w:val="24"/>
        </w:rPr>
        <w:t>Департамент статистики МОТ рассылает свой ежегодный вопросник по статистике труда во втором квартале каждого года с просьбой представить данные за предыдущий календарный год в целях скорейшего получения, обработки и распространения соответствующих статистических данных. С помощью этих средств составляется статистика производственного травматизма.</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Выпуск данных:</w:t>
      </w:r>
    </w:p>
    <w:p w:rsidR="00A52E73" w:rsidRDefault="00A52E73" w:rsidP="00A52E73">
      <w:pPr>
        <w:pStyle w:val="a"/>
        <w:jc w:val="both"/>
        <w:rPr>
          <w:rFonts w:ascii="Times New Roman" w:hAnsi="Times New Roman" w:cs="Times New Roman"/>
          <w:sz w:val="24"/>
          <w:szCs w:val="24"/>
        </w:rPr>
      </w:pPr>
      <w:r w:rsidRPr="00C74A23">
        <w:rPr>
          <w:rFonts w:ascii="Times New Roman" w:hAnsi="Times New Roman" w:cs="Times New Roman"/>
          <w:sz w:val="24"/>
          <w:szCs w:val="24"/>
        </w:rPr>
        <w:t>Информа</w:t>
      </w:r>
      <w:r>
        <w:rPr>
          <w:rFonts w:ascii="Times New Roman" w:hAnsi="Times New Roman" w:cs="Times New Roman"/>
          <w:sz w:val="24"/>
          <w:szCs w:val="24"/>
        </w:rPr>
        <w:t xml:space="preserve">ционная онлайн база данных МОТ </w:t>
      </w:r>
      <w:r w:rsidRPr="00C74A23">
        <w:rPr>
          <w:rFonts w:ascii="Times New Roman" w:hAnsi="Times New Roman" w:cs="Times New Roman"/>
          <w:sz w:val="24"/>
          <w:szCs w:val="24"/>
        </w:rPr>
        <w:t xml:space="preserve">постоянно обновляется, чтобы включать вновь полученные и обработанные статистические данные. В целом, статистика по профессиональным травмам доступна в МОТСТАТ для большинства стран к 3-му или не </w:t>
      </w:r>
      <w:r>
        <w:rPr>
          <w:rFonts w:ascii="Times New Roman" w:hAnsi="Times New Roman" w:cs="Times New Roman"/>
          <w:sz w:val="24"/>
          <w:szCs w:val="24"/>
        </w:rPr>
        <w:t>позднее</w:t>
      </w:r>
      <w:r w:rsidRPr="00C74A23">
        <w:rPr>
          <w:rFonts w:ascii="Times New Roman" w:hAnsi="Times New Roman" w:cs="Times New Roman"/>
          <w:sz w:val="24"/>
          <w:szCs w:val="24"/>
        </w:rPr>
        <w:t xml:space="preserve"> 4-</w:t>
      </w:r>
      <w:r>
        <w:rPr>
          <w:rFonts w:ascii="Times New Roman" w:hAnsi="Times New Roman" w:cs="Times New Roman"/>
          <w:sz w:val="24"/>
          <w:szCs w:val="24"/>
        </w:rPr>
        <w:t>го</w:t>
      </w:r>
      <w:r w:rsidRPr="00C74A23">
        <w:rPr>
          <w:rFonts w:ascii="Times New Roman" w:hAnsi="Times New Roman" w:cs="Times New Roman"/>
          <w:sz w:val="24"/>
          <w:szCs w:val="24"/>
        </w:rPr>
        <w:t xml:space="preserve"> квартал</w:t>
      </w:r>
      <w:r>
        <w:rPr>
          <w:rFonts w:ascii="Times New Roman" w:hAnsi="Times New Roman" w:cs="Times New Roman"/>
          <w:sz w:val="24"/>
          <w:szCs w:val="24"/>
        </w:rPr>
        <w:t>а</w:t>
      </w:r>
      <w:r w:rsidRPr="00C74A23">
        <w:rPr>
          <w:rFonts w:ascii="Times New Roman" w:hAnsi="Times New Roman" w:cs="Times New Roman"/>
          <w:sz w:val="24"/>
          <w:szCs w:val="24"/>
        </w:rPr>
        <w:t xml:space="preserve"> года, следующего за годом </w:t>
      </w:r>
      <w:r>
        <w:rPr>
          <w:rFonts w:ascii="Times New Roman" w:hAnsi="Times New Roman" w:cs="Times New Roman"/>
          <w:sz w:val="24"/>
          <w:szCs w:val="24"/>
        </w:rPr>
        <w:t>отчетной</w:t>
      </w:r>
      <w:r w:rsidRPr="00C74A23">
        <w:rPr>
          <w:rFonts w:ascii="Times New Roman" w:hAnsi="Times New Roman" w:cs="Times New Roman"/>
          <w:sz w:val="24"/>
          <w:szCs w:val="24"/>
        </w:rPr>
        <w:t xml:space="preserve"> статистики.</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Поставщики данных</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Министерства труда, инспекции тр</w:t>
      </w:r>
      <w:r>
        <w:rPr>
          <w:rFonts w:ascii="Times New Roman" w:hAnsi="Times New Roman" w:cs="Times New Roman"/>
          <w:sz w:val="24"/>
          <w:szCs w:val="24"/>
        </w:rPr>
        <w:t>уда, национальные страховые и/</w:t>
      </w:r>
      <w:r w:rsidRPr="00534007">
        <w:rPr>
          <w:rFonts w:ascii="Times New Roman" w:hAnsi="Times New Roman" w:cs="Times New Roman"/>
          <w:sz w:val="24"/>
          <w:szCs w:val="24"/>
        </w:rPr>
        <w:t>или национальные статистические управления.</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Составители данных</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МОТ</w:t>
      </w:r>
    </w:p>
    <w:p w:rsidR="00A52E73" w:rsidRPr="00534007" w:rsidRDefault="00A52E73" w:rsidP="00A52E73">
      <w:pPr>
        <w:pStyle w:val="a"/>
        <w:jc w:val="both"/>
        <w:rPr>
          <w:rFonts w:ascii="Times New Roman" w:hAnsi="Times New Roman" w:cs="Times New Roman"/>
          <w:b/>
          <w:bCs/>
          <w:sz w:val="24"/>
          <w:szCs w:val="24"/>
        </w:rPr>
      </w:pPr>
      <w:r w:rsidRPr="00534007">
        <w:rPr>
          <w:rFonts w:ascii="Times New Roman" w:hAnsi="Times New Roman" w:cs="Times New Roman"/>
          <w:b/>
          <w:bCs/>
          <w:sz w:val="24"/>
          <w:szCs w:val="24"/>
        </w:rPr>
        <w:t>Ссылки</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URL:</w:t>
      </w:r>
    </w:p>
    <w:p w:rsidR="00A52E73" w:rsidRPr="00534007" w:rsidRDefault="00A52E73" w:rsidP="00A52E73">
      <w:pPr>
        <w:pStyle w:val="a"/>
        <w:jc w:val="both"/>
        <w:rPr>
          <w:rFonts w:ascii="Times New Roman" w:hAnsi="Times New Roman" w:cs="Times New Roman"/>
          <w:sz w:val="24"/>
          <w:szCs w:val="24"/>
        </w:rPr>
      </w:pPr>
      <w:hyperlink r:id="rId10" w:history="1">
        <w:r w:rsidRPr="00534007">
          <w:rPr>
            <w:rStyle w:val="Hyperlink0"/>
            <w:rFonts w:ascii="Times New Roman" w:hAnsi="Times New Roman" w:cs="Times New Roman"/>
            <w:sz w:val="24"/>
            <w:szCs w:val="24"/>
          </w:rPr>
          <w:t>www.ilo.org/ilostat</w:t>
        </w:r>
      </w:hyperlink>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Ссылки:</w:t>
      </w:r>
    </w:p>
    <w:p w:rsidR="00A52E73" w:rsidRPr="00534007"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lastRenderedPageBreak/>
        <w:t xml:space="preserve">МОТСТАТ: </w:t>
      </w:r>
      <w:hyperlink r:id="rId11" w:history="1">
        <w:r w:rsidRPr="00534007">
          <w:rPr>
            <w:rStyle w:val="Hyperlink0"/>
            <w:rFonts w:ascii="Times New Roman" w:hAnsi="Times New Roman" w:cs="Times New Roman"/>
            <w:sz w:val="24"/>
            <w:szCs w:val="24"/>
          </w:rPr>
          <w:t>www.ilo.org/ilostat</w:t>
        </w:r>
      </w:hyperlink>
    </w:p>
    <w:p w:rsidR="00A52E73"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 xml:space="preserve">Руководство по </w:t>
      </w:r>
      <w:r>
        <w:rPr>
          <w:rFonts w:ascii="Times New Roman" w:hAnsi="Times New Roman" w:cs="Times New Roman"/>
          <w:sz w:val="24"/>
          <w:szCs w:val="24"/>
        </w:rPr>
        <w:t>показателям</w:t>
      </w:r>
      <w:r w:rsidRPr="00534007">
        <w:rPr>
          <w:rFonts w:ascii="Times New Roman" w:hAnsi="Times New Roman" w:cs="Times New Roman"/>
          <w:sz w:val="24"/>
          <w:szCs w:val="24"/>
        </w:rPr>
        <w:t xml:space="preserve"> достойного труда: </w:t>
      </w:r>
      <w:hyperlink r:id="rId12" w:history="1">
        <w:r w:rsidRPr="00663449">
          <w:rPr>
            <w:rStyle w:val="Hyperlink"/>
            <w:rFonts w:ascii="Times New Roman" w:hAnsi="Times New Roman" w:cs="Times New Roman"/>
            <w:sz w:val="24"/>
            <w:szCs w:val="24"/>
          </w:rPr>
          <w:t>http://www.ilo.org/wcmsp5/groups/public/---dgreports/---stat/documents/publication/wcms_223121.pdf</w:t>
        </w:r>
      </w:hyperlink>
      <w:r>
        <w:rPr>
          <w:rFonts w:ascii="Times New Roman" w:hAnsi="Times New Roman" w:cs="Times New Roman"/>
          <w:sz w:val="24"/>
          <w:szCs w:val="24"/>
        </w:rPr>
        <w:t xml:space="preserve"> </w:t>
      </w:r>
    </w:p>
    <w:p w:rsidR="00A52E73" w:rsidRPr="00C77C0B" w:rsidRDefault="00A52E73" w:rsidP="00A52E73">
      <w:pPr>
        <w:pStyle w:val="a"/>
        <w:jc w:val="both"/>
        <w:rPr>
          <w:rFonts w:ascii="Times New Roman" w:hAnsi="Times New Roman" w:cs="Times New Roman"/>
          <w:sz w:val="24"/>
          <w:szCs w:val="24"/>
        </w:rPr>
      </w:pPr>
      <w:r w:rsidRPr="00534007">
        <w:rPr>
          <w:rFonts w:ascii="Times New Roman" w:hAnsi="Times New Roman" w:cs="Times New Roman"/>
          <w:sz w:val="24"/>
          <w:szCs w:val="24"/>
        </w:rPr>
        <w:t xml:space="preserve">Резолюция, касающаяся статистики производственных травм (в результате несчастных случаев на производстве), принятая 16-м МКСТ в 1998 году: </w:t>
      </w:r>
      <w:hyperlink r:id="rId13" w:history="1">
        <w:r w:rsidRPr="00663449">
          <w:rPr>
            <w:rStyle w:val="Hyperlink"/>
            <w:rFonts w:ascii="Times New Roman" w:hAnsi="Times New Roman" w:cs="Times New Roman"/>
            <w:sz w:val="24"/>
            <w:szCs w:val="24"/>
            <w:lang w:val="en-US"/>
          </w:rPr>
          <w:t>http</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www</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ilo</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org</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global</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statistics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and</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databases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standards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and</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guidelines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resolutions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adopted</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by</w:t>
        </w:r>
        <w:r w:rsidRPr="00663449">
          <w:rPr>
            <w:rStyle w:val="Hyperlink"/>
            <w:rFonts w:ascii="Times New Roman" w:hAnsi="Times New Roman" w:cs="Times New Roman"/>
            <w:sz w:val="24"/>
            <w:szCs w:val="24"/>
          </w:rPr>
          <w:t xml:space="preserve">- </w:t>
        </w:r>
        <w:r w:rsidRPr="00663449">
          <w:rPr>
            <w:rStyle w:val="Hyperlink"/>
            <w:rFonts w:ascii="Times New Roman" w:hAnsi="Times New Roman" w:cs="Times New Roman"/>
            <w:sz w:val="24"/>
            <w:szCs w:val="24"/>
            <w:lang w:val="en-US"/>
          </w:rPr>
          <w:t>international</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conferences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of</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labour</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statisticians</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en-US"/>
          </w:rPr>
          <w:t>WCMS</w:t>
        </w:r>
        <w:r w:rsidRPr="00663449">
          <w:rPr>
            <w:rStyle w:val="Hyperlink"/>
            <w:rFonts w:ascii="Times New Roman" w:hAnsi="Times New Roman" w:cs="Times New Roman"/>
            <w:sz w:val="24"/>
            <w:szCs w:val="24"/>
          </w:rPr>
          <w:t>_087528/</w:t>
        </w:r>
        <w:r w:rsidRPr="00663449">
          <w:rPr>
            <w:rStyle w:val="Hyperlink"/>
            <w:rFonts w:ascii="Times New Roman" w:hAnsi="Times New Roman" w:cs="Times New Roman"/>
            <w:sz w:val="24"/>
            <w:szCs w:val="24"/>
            <w:lang w:val="en-US"/>
          </w:rPr>
          <w:t>lang</w:t>
        </w:r>
        <w:r w:rsidRPr="00663449">
          <w:rPr>
            <w:rStyle w:val="Hyperlink"/>
            <w:rFonts w:ascii="Times New Roman" w:hAnsi="Times New Roman" w:cs="Times New Roman"/>
            <w:sz w:val="24"/>
            <w:szCs w:val="24"/>
          </w:rPr>
          <w:t>—</w:t>
        </w:r>
        <w:r w:rsidRPr="00663449">
          <w:rPr>
            <w:rStyle w:val="Hyperlink"/>
            <w:rFonts w:ascii="Times New Roman" w:hAnsi="Times New Roman" w:cs="Times New Roman"/>
            <w:sz w:val="24"/>
            <w:szCs w:val="24"/>
            <w:lang w:val="de-DE"/>
          </w:rPr>
          <w:t>en/index.htm</w:t>
        </w:r>
      </w:hyperlink>
      <w:r>
        <w:rPr>
          <w:rFonts w:ascii="Times New Roman" w:hAnsi="Times New Roman" w:cs="Times New Roman"/>
          <w:sz w:val="24"/>
          <w:szCs w:val="24"/>
        </w:rPr>
        <w:t xml:space="preserve"> </w:t>
      </w:r>
    </w:p>
    <w:p w:rsidR="00A52E73" w:rsidRPr="00534007" w:rsidRDefault="00A52E73" w:rsidP="00A52E73">
      <w:pPr>
        <w:pStyle w:val="a"/>
        <w:jc w:val="both"/>
        <w:rPr>
          <w:rFonts w:ascii="Times New Roman" w:hAnsi="Times New Roman" w:cs="Times New Roman"/>
          <w:sz w:val="24"/>
          <w:szCs w:val="24"/>
        </w:rPr>
      </w:pPr>
    </w:p>
    <w:p w:rsidR="00A52E73" w:rsidRPr="00874EC9" w:rsidRDefault="00A52E73" w:rsidP="00A52E73">
      <w:pPr>
        <w:pStyle w:val="a"/>
        <w:jc w:val="both"/>
        <w:rPr>
          <w:rFonts w:ascii="Times New Roman" w:hAnsi="Times New Roman" w:cs="Times New Roman"/>
          <w:sz w:val="24"/>
          <w:szCs w:val="24"/>
        </w:rPr>
      </w:pPr>
    </w:p>
    <w:p w:rsidR="00C74A23" w:rsidRPr="00A52E73" w:rsidRDefault="00C74A23" w:rsidP="00A52E73">
      <w:bookmarkStart w:id="0" w:name="_GoBack"/>
      <w:bookmarkEnd w:id="0"/>
    </w:p>
    <w:sectPr w:rsidR="00C74A23" w:rsidRPr="00A52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95CEF"/>
    <w:multiLevelType w:val="hybridMultilevel"/>
    <w:tmpl w:val="172C4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013"/>
    <w:rsid w:val="004A407A"/>
    <w:rsid w:val="008300B6"/>
    <w:rsid w:val="00874EC9"/>
    <w:rsid w:val="008B7013"/>
    <w:rsid w:val="009E44BB"/>
    <w:rsid w:val="00A52E73"/>
    <w:rsid w:val="00B53FFB"/>
    <w:rsid w:val="00C74A23"/>
    <w:rsid w:val="00E776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qFormat/>
    <w:rsid w:val="00B53FFB"/>
    <w:rPr>
      <w:rFonts w:ascii="Helvetica Neue" w:eastAsia="Arial Unicode MS" w:hAnsi="Helvetica Neue" w:cs="Arial Unicode MS"/>
      <w:color w:val="000000"/>
      <w:lang w:eastAsia="ru-RU"/>
    </w:rPr>
  </w:style>
  <w:style w:type="character" w:styleId="Hyperlink">
    <w:name w:val="Hyperlink"/>
    <w:qFormat/>
    <w:rsid w:val="00B53FFB"/>
    <w:rPr>
      <w:u w:val="single"/>
    </w:rPr>
  </w:style>
  <w:style w:type="paragraph" w:customStyle="1" w:styleId="Default">
    <w:name w:val="Default"/>
    <w:rsid w:val="00874EC9"/>
    <w:pPr>
      <w:autoSpaceDE w:val="0"/>
      <w:autoSpaceDN w:val="0"/>
      <w:adjustRightInd w:val="0"/>
      <w:spacing w:after="0" w:line="240" w:lineRule="auto"/>
    </w:pPr>
    <w:rPr>
      <w:rFonts w:ascii="Calibri" w:hAnsi="Calibri" w:cs="Calibri"/>
      <w:color w:val="000000"/>
      <w:sz w:val="24"/>
      <w:szCs w:val="24"/>
    </w:rPr>
  </w:style>
  <w:style w:type="character" w:customStyle="1" w:styleId="Hyperlink0">
    <w:name w:val="Hyperlink.0"/>
    <w:basedOn w:val="Hyperlink"/>
    <w:rsid w:val="00C74A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safework/info/publications/WCMS_217849/lang--en/index.htm" TargetMode="External"/><Relationship Id="rId13" Type="http://schemas.openxmlformats.org/officeDocument/2006/relationships/hyperlink" Target="http://www.ilo.org/global/statistics-and-databases/standards-and-guidelines/resolutions-adopted-by-%20international-conferences-of-labour-statisticians/WCMS_087528/lang&#8212;en/index.htm" TargetMode="External"/><Relationship Id="rId3" Type="http://schemas.openxmlformats.org/officeDocument/2006/relationships/settings" Target="settings.xml"/><Relationship Id="rId7" Type="http://schemas.openxmlformats.org/officeDocument/2006/relationships/hyperlink" Target="http://www.ilo.org/global/statistics-and-databases/standards-and-guidelines/resolutions-adopted-by-international-conferences-of-labour-statisticians/WCMS_087528/lang--en/index.htm" TargetMode="External"/><Relationship Id="rId12" Type="http://schemas.openxmlformats.org/officeDocument/2006/relationships/hyperlink" Target="http://www.ilo.org/wcmsp5/groups/public/---dgreports/---stat/documents/publication/wcms_2231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integration/resources/pubs/WCMS_229374/lang--en/index.htm" TargetMode="External"/><Relationship Id="rId11" Type="http://schemas.openxmlformats.org/officeDocument/2006/relationships/hyperlink" Target="http://www.ilo.org/ilostat" TargetMode="External"/><Relationship Id="rId5" Type="http://schemas.openxmlformats.org/officeDocument/2006/relationships/hyperlink" Target="http://www.ilo.org/global/statistics-and-databases/standards-and-guidelines/resolutions-adopted-byinternational-conferences-of-labour-statisticians/WCMS_087528/lang--en/index.htm" TargetMode="External"/><Relationship Id="rId15" Type="http://schemas.openxmlformats.org/officeDocument/2006/relationships/theme" Target="theme/theme1.xml"/><Relationship Id="rId10" Type="http://schemas.openxmlformats.org/officeDocument/2006/relationships/hyperlink" Target="http://www.ilo.org/ilostat" TargetMode="External"/><Relationship Id="rId4" Type="http://schemas.openxmlformats.org/officeDocument/2006/relationships/webSettings" Target="webSettings.xml"/><Relationship Id="rId9" Type="http://schemas.openxmlformats.org/officeDocument/2006/relationships/hyperlink" Target="http://www.ilo.org/stat/Publications/WCMS_173153/lang--en/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Microsoft Office User</cp:lastModifiedBy>
  <cp:revision>3</cp:revision>
  <dcterms:created xsi:type="dcterms:W3CDTF">2018-05-30T06:39:00Z</dcterms:created>
  <dcterms:modified xsi:type="dcterms:W3CDTF">2021-08-19T12:12:00Z</dcterms:modified>
</cp:coreProperties>
</file>