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44B70" w14:textId="77777777" w:rsidR="00C55784" w:rsidRPr="00701CA1" w:rsidRDefault="00C55784" w:rsidP="00C55784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Цель 5. Обеспечение гендерного равенства и расширение прав и возможностей всех женщин и девочек</w:t>
      </w:r>
    </w:p>
    <w:p w14:paraId="202EBFE3" w14:textId="77777777" w:rsidR="00C55784" w:rsidRPr="00701CA1" w:rsidRDefault="00C55784" w:rsidP="00C55784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5.b Активизировать использование соответствующих технологий, в частности информационно-коммуникационных технологий, для содействия расширению прав и возможностей женщин</w:t>
      </w:r>
    </w:p>
    <w:p w14:paraId="3C8423C8" w14:textId="77777777" w:rsidR="00C55784" w:rsidRPr="00701CA1" w:rsidRDefault="00C55784" w:rsidP="00C55784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 xml:space="preserve">5.b.1. </w:t>
      </w:r>
      <w:r w:rsidRPr="004C22DA">
        <w:rPr>
          <w:rFonts w:ascii="Times New Roman" w:hAnsi="Times New Roman" w:cs="Times New Roman"/>
          <w:b/>
          <w:sz w:val="24"/>
          <w:szCs w:val="24"/>
        </w:rPr>
        <w:t>Доля людей, имеющих мобильный телефон, в разбивке по полу</w:t>
      </w:r>
    </w:p>
    <w:p w14:paraId="345D91F7" w14:textId="77777777" w:rsidR="00C55784" w:rsidRPr="00701CA1" w:rsidRDefault="00C55784" w:rsidP="00C55784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14:paraId="04B57033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Организация(и):</w:t>
      </w:r>
    </w:p>
    <w:p w14:paraId="3F9E023C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Международный союз электросвязи (МСЭ)</w:t>
      </w:r>
    </w:p>
    <w:p w14:paraId="2BC889FF" w14:textId="77777777" w:rsidR="00C55784" w:rsidRPr="00701CA1" w:rsidRDefault="00C55784" w:rsidP="00C55784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14:paraId="4762B914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Определение:</w:t>
      </w:r>
    </w:p>
    <w:p w14:paraId="31630C02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 xml:space="preserve">Доля лиц, владеющих мобильным телефоном, </w:t>
      </w:r>
      <w:r>
        <w:rPr>
          <w:rFonts w:ascii="Times New Roman" w:hAnsi="Times New Roman" w:cs="Times New Roman"/>
          <w:sz w:val="24"/>
          <w:szCs w:val="24"/>
        </w:rPr>
        <w:t xml:space="preserve">в разбивке </w:t>
      </w:r>
      <w:r w:rsidRPr="00701CA1">
        <w:rPr>
          <w:rFonts w:ascii="Times New Roman" w:hAnsi="Times New Roman" w:cs="Times New Roman"/>
          <w:sz w:val="24"/>
          <w:szCs w:val="24"/>
        </w:rPr>
        <w:t xml:space="preserve">по полу определяется как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1CA1">
        <w:rPr>
          <w:rFonts w:ascii="Times New Roman" w:hAnsi="Times New Roman" w:cs="Times New Roman"/>
          <w:sz w:val="24"/>
          <w:szCs w:val="24"/>
        </w:rPr>
        <w:t>доля лиц, владеющ</w:t>
      </w:r>
      <w:r>
        <w:rPr>
          <w:rFonts w:ascii="Times New Roman" w:hAnsi="Times New Roman" w:cs="Times New Roman"/>
          <w:sz w:val="24"/>
          <w:szCs w:val="24"/>
        </w:rPr>
        <w:t>их мобильным телефоном, в разбивке по полу</w:t>
      </w:r>
      <w:r w:rsidRPr="00701CA1">
        <w:rPr>
          <w:rFonts w:ascii="Times New Roman" w:hAnsi="Times New Roman" w:cs="Times New Roman"/>
          <w:sz w:val="24"/>
          <w:szCs w:val="24"/>
        </w:rPr>
        <w:t>».</w:t>
      </w:r>
    </w:p>
    <w:p w14:paraId="3FD0771A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Обоснование:</w:t>
      </w:r>
    </w:p>
    <w:p w14:paraId="3B75FA23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 xml:space="preserve">За последнее десятилетие сети мобильных телефонов быстро </w:t>
      </w:r>
      <w:r>
        <w:rPr>
          <w:rFonts w:ascii="Times New Roman" w:hAnsi="Times New Roman" w:cs="Times New Roman"/>
          <w:sz w:val="24"/>
          <w:szCs w:val="24"/>
        </w:rPr>
        <w:t>распространились, а количество зарегистрированных учетных записей</w:t>
      </w:r>
      <w:r w:rsidRPr="00701CA1">
        <w:rPr>
          <w:rFonts w:ascii="Times New Roman" w:hAnsi="Times New Roman" w:cs="Times New Roman"/>
          <w:sz w:val="24"/>
          <w:szCs w:val="24"/>
        </w:rPr>
        <w:t xml:space="preserve"> мобильны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701CA1">
        <w:rPr>
          <w:rFonts w:ascii="Times New Roman" w:hAnsi="Times New Roman" w:cs="Times New Roman"/>
          <w:sz w:val="24"/>
          <w:szCs w:val="24"/>
        </w:rPr>
        <w:t>сотовы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701CA1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01CA1">
        <w:rPr>
          <w:rFonts w:ascii="Times New Roman" w:hAnsi="Times New Roman" w:cs="Times New Roman"/>
          <w:sz w:val="24"/>
          <w:szCs w:val="24"/>
        </w:rPr>
        <w:t xml:space="preserve"> почти равно числу людей, живущих на Земле. Однако не каждый человек использует, либо владеет мобильным сотовым телефоном. Владение мобильным телефоном, в частности, имеет важное значение для отслеживания гендерного равенства, поскольку мобильный телефон является персональным устройством, которое, если</w:t>
      </w:r>
      <w:r>
        <w:rPr>
          <w:rFonts w:ascii="Times New Roman" w:hAnsi="Times New Roman" w:cs="Times New Roman"/>
          <w:sz w:val="24"/>
          <w:szCs w:val="24"/>
        </w:rPr>
        <w:t xml:space="preserve"> оно принадлежит, а</w:t>
      </w:r>
      <w:r w:rsidRPr="00701CA1">
        <w:rPr>
          <w:rFonts w:ascii="Times New Roman" w:hAnsi="Times New Roman" w:cs="Times New Roman"/>
          <w:sz w:val="24"/>
          <w:szCs w:val="24"/>
        </w:rPr>
        <w:t xml:space="preserve"> не только разделяется, предоставляет женщинам определенную степень независимости и автономию, в том числе в профессиональных целях. В ряде исследований была подчеркнута связь между владением мобильным телефоном и полномочиями, а также ростом производительности.</w:t>
      </w:r>
    </w:p>
    <w:p w14:paraId="3809D473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Существующие данные о доле женщин, владеющих мобильным телефоном, свидетельствуют о том, что меньше женщин, чем мужчин, имеют мобильный телефон. Этот показатель подчеркивает важность владения мобильным телефоном для отслеживания и улучшения гендерного равенства, а мониторинг поможет разработать целенаправленную политику по преодолению гендерного разрыва. Сбор этого показателя был предложен Целевой группой по гендерным вопросам Партнерства по измерению ИКТ в целях развития.</w:t>
      </w:r>
    </w:p>
    <w:p w14:paraId="6C282168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Основные понятия:</w:t>
      </w:r>
    </w:p>
    <w:p w14:paraId="5A96869E" w14:textId="77777777" w:rsidR="00C55784" w:rsidRDefault="00C55784" w:rsidP="00C55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</w:t>
      </w:r>
      <w:r w:rsidRPr="00701CA1">
        <w:rPr>
          <w:rFonts w:ascii="Times New Roman" w:hAnsi="Times New Roman" w:cs="Times New Roman"/>
          <w:sz w:val="24"/>
          <w:szCs w:val="24"/>
        </w:rPr>
        <w:t xml:space="preserve"> владеет мобильным сотовым телефоном, если у него есть мобильное сотовое устройство с по меньшей мере одной активной SIM-картой для личного использования. Включены мобильные сотовые телефоны, поставляемые работодателями, которые могут использоваться </w:t>
      </w:r>
      <w:r>
        <w:rPr>
          <w:rFonts w:ascii="Times New Roman" w:hAnsi="Times New Roman" w:cs="Times New Roman"/>
          <w:sz w:val="24"/>
          <w:szCs w:val="24"/>
        </w:rPr>
        <w:t>в личных целях</w:t>
      </w:r>
      <w:r w:rsidRPr="00701CA1">
        <w:rPr>
          <w:rFonts w:ascii="Times New Roman" w:hAnsi="Times New Roman" w:cs="Times New Roman"/>
          <w:sz w:val="24"/>
          <w:szCs w:val="24"/>
        </w:rPr>
        <w:t xml:space="preserve"> (для совершения личных звонков, доступа 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01CA1">
        <w:rPr>
          <w:rFonts w:ascii="Times New Roman" w:hAnsi="Times New Roman" w:cs="Times New Roman"/>
          <w:sz w:val="24"/>
          <w:szCs w:val="24"/>
        </w:rPr>
        <w:t>нтернет и т.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01CA1">
        <w:rPr>
          <w:rFonts w:ascii="Times New Roman" w:hAnsi="Times New Roman" w:cs="Times New Roman"/>
          <w:sz w:val="24"/>
          <w:szCs w:val="24"/>
        </w:rPr>
        <w:t xml:space="preserve">.). Лица, у которых есть только активная SIM-карта (ы), а не мобильное устройство, </w:t>
      </w:r>
      <w:r w:rsidRPr="00701CA1">
        <w:rPr>
          <w:rFonts w:ascii="Times New Roman" w:hAnsi="Times New Roman" w:cs="Times New Roman"/>
          <w:sz w:val="24"/>
          <w:szCs w:val="24"/>
        </w:rPr>
        <w:lastRenderedPageBreak/>
        <w:t xml:space="preserve">исключены. Также включены лица, у которых есть мобильный телефон для личного пользования, который не зарегистрирован под его именем. Активная SIM-карта - это SIM-карта, которая использовалась в течение последних трех месяцев. </w:t>
      </w:r>
    </w:p>
    <w:p w14:paraId="5BB754B5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Мобильный (сотовый) телефон относится к портативному телефону, который под</w:t>
      </w:r>
      <w:r>
        <w:rPr>
          <w:rFonts w:ascii="Times New Roman" w:hAnsi="Times New Roman" w:cs="Times New Roman"/>
          <w:sz w:val="24"/>
          <w:szCs w:val="24"/>
        </w:rPr>
        <w:t>ключен</w:t>
      </w:r>
      <w:r w:rsidRPr="00701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01CA1">
        <w:rPr>
          <w:rFonts w:ascii="Times New Roman" w:hAnsi="Times New Roman" w:cs="Times New Roman"/>
          <w:sz w:val="24"/>
          <w:szCs w:val="24"/>
        </w:rPr>
        <w:t xml:space="preserve"> общедоступн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01CA1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1CA1">
        <w:rPr>
          <w:rFonts w:ascii="Times New Roman" w:hAnsi="Times New Roman" w:cs="Times New Roman"/>
          <w:sz w:val="24"/>
          <w:szCs w:val="24"/>
        </w:rPr>
        <w:t xml:space="preserve"> мобильной телефонной связи, используя сотовую технологию, которая обеспечивает доступ к </w:t>
      </w:r>
      <w:r>
        <w:rPr>
          <w:rFonts w:ascii="Times New Roman" w:hAnsi="Times New Roman" w:cs="Times New Roman"/>
          <w:sz w:val="24"/>
          <w:szCs w:val="24"/>
        </w:rPr>
        <w:t>телефонной сети общего пользования</w:t>
      </w:r>
      <w:r w:rsidRPr="00701CA1">
        <w:rPr>
          <w:rFonts w:ascii="Times New Roman" w:hAnsi="Times New Roman" w:cs="Times New Roman"/>
          <w:sz w:val="24"/>
          <w:szCs w:val="24"/>
        </w:rPr>
        <w:t>. Это включает аналоговые и цифровые сотовые системы и технологии, такие как IMT-2000 (3G) и IMT-</w:t>
      </w:r>
      <w:proofErr w:type="spellStart"/>
      <w:r w:rsidRPr="00701CA1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701CA1">
        <w:rPr>
          <w:rFonts w:ascii="Times New Roman" w:hAnsi="Times New Roman" w:cs="Times New Roman"/>
          <w:sz w:val="24"/>
          <w:szCs w:val="24"/>
        </w:rPr>
        <w:t xml:space="preserve">. Включены пользователи как </w:t>
      </w:r>
      <w:proofErr w:type="spellStart"/>
      <w:r w:rsidRPr="00701CA1">
        <w:rPr>
          <w:rFonts w:ascii="Times New Roman" w:hAnsi="Times New Roman" w:cs="Times New Roman"/>
          <w:sz w:val="24"/>
          <w:szCs w:val="24"/>
        </w:rPr>
        <w:t>постоплатных</w:t>
      </w:r>
      <w:proofErr w:type="spellEnd"/>
      <w:r w:rsidRPr="00701CA1">
        <w:rPr>
          <w:rFonts w:ascii="Times New Roman" w:hAnsi="Times New Roman" w:cs="Times New Roman"/>
          <w:sz w:val="24"/>
          <w:szCs w:val="24"/>
        </w:rPr>
        <w:t xml:space="preserve"> подписчиков, так и по предоплаченным счетам.</w:t>
      </w:r>
    </w:p>
    <w:p w14:paraId="23398084" w14:textId="77777777" w:rsidR="00C55784" w:rsidRPr="00701CA1" w:rsidRDefault="00C55784" w:rsidP="00C55784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14:paraId="70041CD8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 xml:space="preserve">Хотя данные о «доле лиц, владеющих мобильным телефоном» в настоящее время существуют только для очень немногих </w:t>
      </w:r>
      <w:r>
        <w:rPr>
          <w:rFonts w:ascii="Times New Roman" w:hAnsi="Times New Roman" w:cs="Times New Roman"/>
          <w:sz w:val="24"/>
          <w:szCs w:val="24"/>
        </w:rPr>
        <w:t xml:space="preserve">стран, МСЭ поощряет все страны в сборе </w:t>
      </w:r>
      <w:r w:rsidRPr="00701CA1">
        <w:rPr>
          <w:rFonts w:ascii="Times New Roman" w:hAnsi="Times New Roman" w:cs="Times New Roman"/>
          <w:sz w:val="24"/>
          <w:szCs w:val="24"/>
        </w:rPr>
        <w:t>данны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701CA1">
        <w:rPr>
          <w:rFonts w:ascii="Times New Roman" w:hAnsi="Times New Roman" w:cs="Times New Roman"/>
          <w:sz w:val="24"/>
          <w:szCs w:val="24"/>
        </w:rPr>
        <w:t>по этому показателю с помощью национальных обследований домашних хозяйств,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1CA1">
        <w:rPr>
          <w:rFonts w:ascii="Times New Roman" w:hAnsi="Times New Roman" w:cs="Times New Roman"/>
          <w:sz w:val="24"/>
          <w:szCs w:val="24"/>
        </w:rPr>
        <w:t xml:space="preserve"> ожидается, что этот показатель будет добавлен в Измерение основных показателей </w:t>
      </w:r>
      <w:proofErr w:type="spellStart"/>
      <w:r w:rsidRPr="00701CA1">
        <w:rPr>
          <w:rFonts w:ascii="Times New Roman" w:hAnsi="Times New Roman" w:cs="Times New Roman"/>
          <w:sz w:val="24"/>
          <w:szCs w:val="24"/>
        </w:rPr>
        <w:t>показателей</w:t>
      </w:r>
      <w:proofErr w:type="spellEnd"/>
      <w:r w:rsidRPr="00701CA1">
        <w:rPr>
          <w:rFonts w:ascii="Times New Roman" w:hAnsi="Times New Roman" w:cs="Times New Roman"/>
          <w:sz w:val="24"/>
          <w:szCs w:val="24"/>
        </w:rPr>
        <w:t xml:space="preserve"> ИКТ для развития. Ожидается, что в ближайшем будущем </w:t>
      </w:r>
      <w:r>
        <w:rPr>
          <w:rFonts w:ascii="Times New Roman" w:hAnsi="Times New Roman" w:cs="Times New Roman"/>
          <w:sz w:val="24"/>
          <w:szCs w:val="24"/>
        </w:rPr>
        <w:t>наступит</w:t>
      </w:r>
      <w:r w:rsidRPr="00701CA1">
        <w:rPr>
          <w:rFonts w:ascii="Times New Roman" w:hAnsi="Times New Roman" w:cs="Times New Roman"/>
          <w:sz w:val="24"/>
          <w:szCs w:val="24"/>
        </w:rPr>
        <w:t xml:space="preserve"> увеличение числа стран с официальными данными по этому показателю.</w:t>
      </w:r>
    </w:p>
    <w:p w14:paraId="68D382F4" w14:textId="77777777" w:rsidR="00C55784" w:rsidRPr="00701CA1" w:rsidRDefault="00C55784" w:rsidP="00C55784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14:paraId="1553A77B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Метод вычисления:</w:t>
      </w:r>
    </w:p>
    <w:p w14:paraId="454CCF2F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Страны могут собирать данные по этому показателю с помощью национальных обследований домашних хозяйств. Этот показатель рассчитывается путем деления общего количества физических лиц, которые владеют мобильным телефоном, на общее количество лиц, включенных в сферу охвата.</w:t>
      </w:r>
    </w:p>
    <w:p w14:paraId="2EB50C13" w14:textId="77777777" w:rsidR="00C55784" w:rsidRPr="00701CA1" w:rsidRDefault="00C55784" w:rsidP="00C5578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121E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701CA1">
        <w:rPr>
          <w:rFonts w:ascii="Times New Roman" w:hAnsi="Times New Roman" w:cs="Times New Roman"/>
          <w:b/>
          <w:sz w:val="24"/>
          <w:szCs w:val="24"/>
        </w:rPr>
        <w:t>:</w:t>
      </w:r>
    </w:p>
    <w:p w14:paraId="729D121C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Для стран, которые собирают этот показатель с помощью национального обследования домашних хозяйств, и если данные позволяют разбивать и дезагрегировать, показатель может быть разбит не только по полу, но и по регионам (географическим и / или городским / сельским)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1CA1">
        <w:rPr>
          <w:rFonts w:ascii="Times New Roman" w:hAnsi="Times New Roman" w:cs="Times New Roman"/>
          <w:sz w:val="24"/>
          <w:szCs w:val="24"/>
        </w:rPr>
        <w:t xml:space="preserve"> по возрастным группам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1CA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уровню образования</w:t>
      </w:r>
      <w:r w:rsidRPr="00701CA1">
        <w:rPr>
          <w:rFonts w:ascii="Times New Roman" w:hAnsi="Times New Roman" w:cs="Times New Roman"/>
          <w:sz w:val="24"/>
          <w:szCs w:val="24"/>
        </w:rPr>
        <w:t>, по статусу рабочей силы и по профессии.</w:t>
      </w:r>
    </w:p>
    <w:p w14:paraId="0ECCBAE1" w14:textId="77777777" w:rsidR="00C55784" w:rsidRPr="00701CA1" w:rsidRDefault="00C55784" w:rsidP="00C55784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14:paraId="5F2A0335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На уровне страны</w:t>
      </w:r>
    </w:p>
    <w:p w14:paraId="69C9EE4E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Отсутствующие значения не оцениваются.</w:t>
      </w:r>
    </w:p>
    <w:p w14:paraId="02C80F51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14:paraId="500035E5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Отсутствующие значения не оцениваются.</w:t>
      </w:r>
    </w:p>
    <w:p w14:paraId="33207720" w14:textId="77777777" w:rsidR="00C55784" w:rsidRPr="00701CA1" w:rsidRDefault="00C55784" w:rsidP="00C55784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14:paraId="7F86C470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lastRenderedPageBreak/>
        <w:t>МСЭ не представил глобальных оценок,</w:t>
      </w:r>
      <w:r>
        <w:rPr>
          <w:rFonts w:ascii="Times New Roman" w:hAnsi="Times New Roman" w:cs="Times New Roman"/>
          <w:sz w:val="24"/>
          <w:szCs w:val="24"/>
        </w:rPr>
        <w:t xml:space="preserve"> но</w:t>
      </w:r>
      <w:r w:rsidRPr="00701CA1">
        <w:rPr>
          <w:rFonts w:ascii="Times New Roman" w:hAnsi="Times New Roman" w:cs="Times New Roman"/>
          <w:sz w:val="24"/>
          <w:szCs w:val="24"/>
        </w:rPr>
        <w:t xml:space="preserve"> работает над методологией для подготовки глобальных оценок этого показателя. Ожидается, что эта методология будет опубликована в конце 2016 года.</w:t>
      </w:r>
    </w:p>
    <w:p w14:paraId="702AF744" w14:textId="77777777" w:rsidR="00C55784" w:rsidRPr="00701CA1" w:rsidRDefault="00C55784" w:rsidP="00C55784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Источники расхождений:</w:t>
      </w:r>
    </w:p>
    <w:p w14:paraId="3B5CF233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Отсутствуют. </w:t>
      </w:r>
      <w:r w:rsidRPr="00701CA1">
        <w:rPr>
          <w:rFonts w:ascii="Times New Roman" w:hAnsi="Times New Roman" w:cs="Times New Roman"/>
          <w:sz w:val="24"/>
          <w:szCs w:val="24"/>
        </w:rPr>
        <w:t>МСЭ использует данные, предоставленные странами, в том числе охват населения, который используется для расчета процентов.</w:t>
      </w:r>
    </w:p>
    <w:p w14:paraId="77C46A29" w14:textId="77777777" w:rsidR="00C55784" w:rsidRPr="00701CA1" w:rsidRDefault="00C55784" w:rsidP="00C55784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14:paraId="4529ACB7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Описание:</w:t>
      </w:r>
    </w:p>
    <w:p w14:paraId="6AD3D234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Этот показатель является недавно разработанным индикатором МСЭ, который был одобрен Всемирным симпозиумом индикаторов в области электросвязи / ИКТ (В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01C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701CA1">
        <w:rPr>
          <w:rFonts w:ascii="Times New Roman" w:hAnsi="Times New Roman" w:cs="Times New Roman"/>
          <w:sz w:val="24"/>
          <w:szCs w:val="24"/>
        </w:rPr>
        <w:t xml:space="preserve">) 2014. Определение и методология индикатора были разработаны при координации МСЭ через свои Группы экспертов и после широкого процесса консультаций со странами. Данные о доле лиц, владеющих мобильным телефоном, были впервые собраны в 2015 году посредством ежегодного вопросника, который МСЭ направляет в национальные статистические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701CA1">
        <w:rPr>
          <w:rFonts w:ascii="Times New Roman" w:hAnsi="Times New Roman" w:cs="Times New Roman"/>
          <w:sz w:val="24"/>
          <w:szCs w:val="24"/>
        </w:rPr>
        <w:t xml:space="preserve"> (НСО). В этом вопроснике, через который МСЭ уже собирает ряд показателей ИКТ, МСЭ собирает абсолютные значения. Проценты вычисляются </w:t>
      </w:r>
      <w:r>
        <w:rPr>
          <w:rFonts w:ascii="Times New Roman" w:hAnsi="Times New Roman" w:cs="Times New Roman"/>
          <w:sz w:val="24"/>
          <w:szCs w:val="24"/>
        </w:rPr>
        <w:t>по факту</w:t>
      </w:r>
      <w:r w:rsidRPr="00701CA1">
        <w:rPr>
          <w:rFonts w:ascii="Times New Roman" w:hAnsi="Times New Roman" w:cs="Times New Roman"/>
          <w:sz w:val="24"/>
          <w:szCs w:val="24"/>
        </w:rPr>
        <w:t xml:space="preserve">. Методология обследования проверяется, чтобы убедиться, что она соответствует соответствующим статистическим стандартам. Данные проверяются для обеспечения согласованности с данными предыдущих лет и другими соответствующими индикаторами на </w:t>
      </w:r>
      <w:proofErr w:type="spellStart"/>
      <w:r w:rsidRPr="00701CA1">
        <w:rPr>
          <w:rFonts w:ascii="Times New Roman" w:hAnsi="Times New Roman" w:cs="Times New Roman"/>
          <w:sz w:val="24"/>
          <w:szCs w:val="24"/>
        </w:rPr>
        <w:t>страновом</w:t>
      </w:r>
      <w:proofErr w:type="spellEnd"/>
      <w:r w:rsidRPr="00701CA1">
        <w:rPr>
          <w:rFonts w:ascii="Times New Roman" w:hAnsi="Times New Roman" w:cs="Times New Roman"/>
          <w:sz w:val="24"/>
          <w:szCs w:val="24"/>
        </w:rPr>
        <w:t xml:space="preserve"> уровне (ИКТ и экономические).</w:t>
      </w:r>
    </w:p>
    <w:p w14:paraId="5B33FA0B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Данные обычно не корректируются, но расхождения в определении, возрастной шкале отдельных лиц, контрольном периоде или разрыв в сопоставимости между годами отмечены в примечании к данным. По этой причине данные не всегда строго сопоставимы.</w:t>
      </w:r>
    </w:p>
    <w:p w14:paraId="740C5A39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Процесс сбора:</w:t>
      </w:r>
    </w:p>
    <w:p w14:paraId="18EE41EF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МСЭ собирает данные по этому показателю с помощью ежегодного вопросника, который он направляет руководител</w:t>
      </w:r>
      <w:r>
        <w:rPr>
          <w:rFonts w:ascii="Times New Roman" w:hAnsi="Times New Roman" w:cs="Times New Roman"/>
          <w:sz w:val="24"/>
          <w:szCs w:val="24"/>
        </w:rPr>
        <w:t>ям национальных статистических организаций</w:t>
      </w:r>
      <w:r w:rsidRPr="00701CA1">
        <w:rPr>
          <w:rFonts w:ascii="Times New Roman" w:hAnsi="Times New Roman" w:cs="Times New Roman"/>
          <w:sz w:val="24"/>
          <w:szCs w:val="24"/>
        </w:rPr>
        <w:t xml:space="preserve"> (НСО). В этом вопроснике, через который МСЭ уже собирает ряд показателей ИКТ, МСЭ собирает абсолютные </w:t>
      </w:r>
      <w:r>
        <w:rPr>
          <w:rFonts w:ascii="Times New Roman" w:hAnsi="Times New Roman" w:cs="Times New Roman"/>
          <w:sz w:val="24"/>
          <w:szCs w:val="24"/>
        </w:rPr>
        <w:t>значения. Проценты вычисляются по факту</w:t>
      </w:r>
      <w:r w:rsidRPr="00701CA1">
        <w:rPr>
          <w:rFonts w:ascii="Times New Roman" w:hAnsi="Times New Roman" w:cs="Times New Roman"/>
          <w:sz w:val="24"/>
          <w:szCs w:val="24"/>
        </w:rPr>
        <w:t xml:space="preserve">. Методология обследования проверяется, чтобы убедиться, что она соответствует соответствующим статистическим стандартам. Данные проверяются для обеспечения согласованности с данными предыдущих лет и другими соответствующими индикаторами на </w:t>
      </w:r>
      <w:proofErr w:type="spellStart"/>
      <w:r w:rsidRPr="00701CA1">
        <w:rPr>
          <w:rFonts w:ascii="Times New Roman" w:hAnsi="Times New Roman" w:cs="Times New Roman"/>
          <w:sz w:val="24"/>
          <w:szCs w:val="24"/>
        </w:rPr>
        <w:t>страновом</w:t>
      </w:r>
      <w:proofErr w:type="spellEnd"/>
      <w:r w:rsidRPr="00701CA1">
        <w:rPr>
          <w:rFonts w:ascii="Times New Roman" w:hAnsi="Times New Roman" w:cs="Times New Roman"/>
          <w:sz w:val="24"/>
          <w:szCs w:val="24"/>
        </w:rPr>
        <w:t xml:space="preserve"> уровне (ИКТ и экономические).</w:t>
      </w:r>
    </w:p>
    <w:p w14:paraId="07641FCE" w14:textId="77777777" w:rsidR="00C55784" w:rsidRPr="00701CA1" w:rsidRDefault="00C55784" w:rsidP="00C55784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14:paraId="2724DB3C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С 2013 по 2015 год (последние) данные доступны для 23 стран, включая некоторые страны ОЭСР.</w:t>
      </w:r>
    </w:p>
    <w:p w14:paraId="4BFB4584" w14:textId="77777777" w:rsidR="00C55784" w:rsidRPr="00701CA1" w:rsidRDefault="00C55784" w:rsidP="00C55784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14:paraId="01A6C60E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Сбор данных:</w:t>
      </w:r>
    </w:p>
    <w:p w14:paraId="7608A62E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lastRenderedPageBreak/>
        <w:t>Данные собираются с помощью длинного вопросника МСЭ</w:t>
      </w:r>
      <w:r>
        <w:rPr>
          <w:rFonts w:ascii="Times New Roman" w:hAnsi="Times New Roman" w:cs="Times New Roman"/>
          <w:sz w:val="24"/>
          <w:szCs w:val="24"/>
        </w:rPr>
        <w:t xml:space="preserve"> для домохозяйств</w:t>
      </w:r>
      <w:r w:rsidRPr="00701CA1">
        <w:rPr>
          <w:rFonts w:ascii="Times New Roman" w:hAnsi="Times New Roman" w:cs="Times New Roman"/>
          <w:sz w:val="24"/>
          <w:szCs w:val="24"/>
        </w:rPr>
        <w:t>, который направляется всем НС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701CA1">
        <w:rPr>
          <w:rFonts w:ascii="Times New Roman" w:hAnsi="Times New Roman" w:cs="Times New Roman"/>
          <w:sz w:val="24"/>
          <w:szCs w:val="24"/>
        </w:rPr>
        <w:t>в третьем квартале каждый год.</w:t>
      </w:r>
    </w:p>
    <w:p w14:paraId="44DC1B2A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Данные публикуются в декабре каждого года.</w:t>
      </w:r>
    </w:p>
    <w:p w14:paraId="4B0AE137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Выпуск данных:</w:t>
      </w:r>
    </w:p>
    <w:p w14:paraId="7B6ED557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Декабрь 2016 года.</w:t>
      </w:r>
    </w:p>
    <w:p w14:paraId="65FB6D0E" w14:textId="77777777" w:rsidR="00C55784" w:rsidRPr="00701CA1" w:rsidRDefault="00C55784" w:rsidP="00C55784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14:paraId="79939510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 xml:space="preserve">Национальные статистические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701CA1">
        <w:rPr>
          <w:rFonts w:ascii="Times New Roman" w:hAnsi="Times New Roman" w:cs="Times New Roman"/>
          <w:sz w:val="24"/>
          <w:szCs w:val="24"/>
        </w:rPr>
        <w:t xml:space="preserve"> (НСО).</w:t>
      </w:r>
    </w:p>
    <w:p w14:paraId="2DCA84FE" w14:textId="77777777" w:rsidR="00C55784" w:rsidRPr="00701CA1" w:rsidRDefault="00C55784" w:rsidP="00C55784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14:paraId="4D5CD99E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МСЭ</w:t>
      </w:r>
    </w:p>
    <w:p w14:paraId="7E1557F7" w14:textId="77777777" w:rsidR="00C55784" w:rsidRPr="00701CA1" w:rsidRDefault="00C55784" w:rsidP="00C55784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Ссылки</w:t>
      </w:r>
    </w:p>
    <w:p w14:paraId="13DC8935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URL:</w:t>
      </w:r>
    </w:p>
    <w:p w14:paraId="0E886E14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http://www.itu.int/en/ITU-D/Statistics/Pages/default.aspx</w:t>
      </w:r>
    </w:p>
    <w:p w14:paraId="22F3B51B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7A779D5A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Поскольку определение и методология этого показателя будут собираться только по состоянию на 2015 год, этот показатель еще не включен в Руководство МСЭ по измерению доступа и использования ИКТ домохозяйствами и физическими лицами 2014 года. Он будет включен в следующий вариант Руководства. Для обсуждения важности этих показателей см. Также ЮНКТАД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44F1B">
        <w:rPr>
          <w:rFonts w:ascii="Times New Roman" w:hAnsi="Times New Roman" w:cs="Times New Roman"/>
          <w:sz w:val="24"/>
          <w:szCs w:val="24"/>
        </w:rPr>
        <w:t>Конференция ООН по торговле и развитию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01CA1">
        <w:rPr>
          <w:rFonts w:ascii="Times New Roman" w:hAnsi="Times New Roman" w:cs="Times New Roman"/>
          <w:sz w:val="24"/>
          <w:szCs w:val="24"/>
        </w:rPr>
        <w:t xml:space="preserve">, «Измерение ИКТ </w:t>
      </w:r>
      <w:r>
        <w:rPr>
          <w:rFonts w:ascii="Times New Roman" w:hAnsi="Times New Roman" w:cs="Times New Roman"/>
          <w:sz w:val="24"/>
          <w:szCs w:val="24"/>
        </w:rPr>
        <w:t>в зависимости от гендерной принадлежности</w:t>
      </w:r>
      <w:r w:rsidRPr="00701CA1">
        <w:rPr>
          <w:rFonts w:ascii="Times New Roman" w:hAnsi="Times New Roman" w:cs="Times New Roman"/>
          <w:sz w:val="24"/>
          <w:szCs w:val="24"/>
        </w:rPr>
        <w:t>: оценка».</w:t>
      </w:r>
    </w:p>
    <w:p w14:paraId="59DC9003" w14:textId="77777777" w:rsidR="00C55784" w:rsidRPr="00701CA1" w:rsidRDefault="00C55784" w:rsidP="00C55784">
      <w:pPr>
        <w:rPr>
          <w:rFonts w:ascii="Times New Roman" w:hAnsi="Times New Roman" w:cs="Times New Roman"/>
          <w:b/>
          <w:sz w:val="24"/>
          <w:szCs w:val="24"/>
        </w:rPr>
      </w:pPr>
      <w:r w:rsidRPr="00701CA1">
        <w:rPr>
          <w:rFonts w:ascii="Times New Roman" w:hAnsi="Times New Roman" w:cs="Times New Roman"/>
          <w:b/>
          <w:sz w:val="24"/>
          <w:szCs w:val="24"/>
        </w:rPr>
        <w:t>Связанные индикаторы</w:t>
      </w:r>
    </w:p>
    <w:p w14:paraId="7D8DA8EA" w14:textId="77777777" w:rsidR="00C55784" w:rsidRPr="00701CA1" w:rsidRDefault="00C55784" w:rsidP="00C55784">
      <w:pPr>
        <w:rPr>
          <w:rFonts w:ascii="Times New Roman" w:hAnsi="Times New Roman" w:cs="Times New Roman"/>
          <w:sz w:val="24"/>
          <w:szCs w:val="24"/>
        </w:rPr>
      </w:pPr>
      <w:r w:rsidRPr="00701CA1">
        <w:rPr>
          <w:rFonts w:ascii="Times New Roman" w:hAnsi="Times New Roman" w:cs="Times New Roman"/>
          <w:sz w:val="24"/>
          <w:szCs w:val="24"/>
        </w:rPr>
        <w:t>1.4, 2.с, 11.b, 12.8, 13.1, 16.10, 17.8</w:t>
      </w:r>
    </w:p>
    <w:p w14:paraId="57785014" w14:textId="0A05CF09" w:rsidR="001467F3" w:rsidRPr="00C55784" w:rsidRDefault="001467F3" w:rsidP="00C55784">
      <w:bookmarkStart w:id="0" w:name="_GoBack"/>
      <w:bookmarkEnd w:id="0"/>
    </w:p>
    <w:sectPr w:rsidR="001467F3" w:rsidRPr="00C5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7F3"/>
    <w:rsid w:val="001467F3"/>
    <w:rsid w:val="00352B79"/>
    <w:rsid w:val="00482D57"/>
    <w:rsid w:val="004C22DA"/>
    <w:rsid w:val="006460DE"/>
    <w:rsid w:val="0068121E"/>
    <w:rsid w:val="00701CA1"/>
    <w:rsid w:val="00912945"/>
    <w:rsid w:val="00C55784"/>
    <w:rsid w:val="00C77C3D"/>
    <w:rsid w:val="00DD73FF"/>
    <w:rsid w:val="00E4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4B96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dcterms:created xsi:type="dcterms:W3CDTF">2017-06-26T13:00:00Z</dcterms:created>
  <dcterms:modified xsi:type="dcterms:W3CDTF">2021-08-19T11:11:00Z</dcterms:modified>
</cp:coreProperties>
</file>