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F8A" w:rsidRPr="009D484C" w:rsidRDefault="00F17F8A" w:rsidP="00F17F8A">
      <w:pPr>
        <w:spacing w:before="100" w:beforeAutospacing="1" w:after="100" w:afterAutospacing="1" w:line="276" w:lineRule="auto"/>
        <w:ind w:firstLine="0"/>
        <w:jc w:val="left"/>
        <w:rPr>
          <w:rFonts w:eastAsia="Times New Roman" w:cs="Times New Roman"/>
          <w:b/>
          <w:color w:val="000000"/>
          <w:sz w:val="24"/>
          <w:szCs w:val="24"/>
          <w:lang w:eastAsia="ru-RU"/>
        </w:rPr>
      </w:pPr>
      <w:r w:rsidRPr="009D484C">
        <w:rPr>
          <w:rFonts w:eastAsia="Times New Roman" w:cs="Times New Roman"/>
          <w:b/>
          <w:color w:val="000000"/>
          <w:sz w:val="24"/>
          <w:szCs w:val="24"/>
          <w:lang w:eastAsia="ru-RU"/>
        </w:rPr>
        <w:t>Цель 5. Обеспечение гендерного равенства и расширение прав и возможностей всех женщин и девочек</w:t>
      </w:r>
    </w:p>
    <w:p w:rsidR="00F17F8A" w:rsidRPr="009D484C" w:rsidRDefault="00F17F8A" w:rsidP="00F17F8A">
      <w:pPr>
        <w:spacing w:before="100" w:beforeAutospacing="1" w:after="100" w:afterAutospacing="1" w:line="276" w:lineRule="auto"/>
        <w:ind w:firstLine="0"/>
        <w:jc w:val="left"/>
        <w:rPr>
          <w:rFonts w:eastAsia="Times New Roman" w:cs="Times New Roman"/>
          <w:b/>
          <w:color w:val="000000"/>
          <w:sz w:val="24"/>
          <w:szCs w:val="24"/>
          <w:lang w:eastAsia="ru-RU"/>
        </w:rPr>
      </w:pPr>
      <w:r w:rsidRPr="009D484C">
        <w:rPr>
          <w:rFonts w:eastAsia="Times New Roman" w:cs="Times New Roman"/>
          <w:b/>
          <w:color w:val="000000"/>
          <w:sz w:val="24"/>
          <w:szCs w:val="24"/>
          <w:lang w:eastAsia="ru-RU"/>
        </w:rPr>
        <w:t>5.6 Обеспечить всеобщий доступ к услугам в области охраны сексуального и репродуктивного здоровья и к реализации репродуктивных прав в соответствии с Программой действий Международной конференции по народонаселению и развитию, Пекинской платформой действий и итоговыми документами конференций по рассмотрению хода их выполнения</w:t>
      </w:r>
    </w:p>
    <w:p w:rsidR="00F17F8A" w:rsidRPr="002A0FB4" w:rsidRDefault="00F17F8A" w:rsidP="00F17F8A">
      <w:pPr>
        <w:spacing w:before="100" w:beforeAutospacing="1" w:after="100" w:afterAutospacing="1" w:line="276" w:lineRule="auto"/>
        <w:ind w:firstLine="0"/>
        <w:jc w:val="left"/>
        <w:rPr>
          <w:rFonts w:eastAsia="Times New Roman" w:cs="Times New Roman"/>
          <w:b/>
          <w:color w:val="0070C0"/>
          <w:sz w:val="24"/>
          <w:szCs w:val="24"/>
          <w:lang w:eastAsia="ru-RU"/>
        </w:rPr>
      </w:pPr>
      <w:r w:rsidRPr="009D484C">
        <w:rPr>
          <w:rFonts w:eastAsia="Times New Roman" w:cs="Times New Roman"/>
          <w:b/>
          <w:color w:val="0070C0"/>
          <w:sz w:val="24"/>
          <w:szCs w:val="24"/>
          <w:lang w:eastAsia="ru-RU"/>
        </w:rPr>
        <w:t>5.6.2 Число стран, где действуют законы и нормативные акты, гарантирующие женщинам и мужчинам в возрасте от 15 лет полный и равный доступ к услугам по охране сексуального и репродуктивного здоровья и информации и просвещению в этой сфере</w:t>
      </w:r>
    </w:p>
    <w:p w:rsidR="00F17F8A" w:rsidRDefault="00F17F8A" w:rsidP="00F17F8A">
      <w:pPr>
        <w:spacing w:before="100" w:beforeAutospacing="1" w:after="100" w:afterAutospacing="1" w:line="276" w:lineRule="auto"/>
        <w:rPr>
          <w:rFonts w:cs="Times New Roman"/>
          <w:b/>
          <w:sz w:val="24"/>
          <w:szCs w:val="24"/>
        </w:rPr>
      </w:pPr>
    </w:p>
    <w:p w:rsidR="00F17F8A" w:rsidRPr="00B27A0B" w:rsidRDefault="00F17F8A" w:rsidP="00F17F8A">
      <w:pPr>
        <w:pBdr>
          <w:bottom w:val="single" w:sz="12" w:space="4" w:color="DDDDDD"/>
        </w:pBdr>
        <w:spacing w:before="100" w:beforeAutospacing="1" w:after="100" w:afterAutospacing="1" w:line="276" w:lineRule="auto"/>
        <w:ind w:firstLine="0"/>
        <w:rPr>
          <w:rFonts w:cs="Times New Roman"/>
          <w:color w:val="0070C0"/>
          <w:sz w:val="24"/>
          <w:szCs w:val="24"/>
        </w:rPr>
      </w:pPr>
      <w:r w:rsidRPr="00A218FA">
        <w:rPr>
          <w:rFonts w:cs="Times New Roman"/>
          <w:b/>
          <w:color w:val="0070C0"/>
          <w:sz w:val="24"/>
          <w:szCs w:val="24"/>
        </w:rPr>
        <w:t>Институциональная информаци</w:t>
      </w:r>
      <w:r>
        <w:rPr>
          <w:rFonts w:cs="Times New Roman"/>
          <w:b/>
          <w:color w:val="0070C0"/>
          <w:sz w:val="24"/>
          <w:szCs w:val="24"/>
        </w:rPr>
        <w:t>я</w:t>
      </w:r>
    </w:p>
    <w:p w:rsidR="00F17F8A" w:rsidRPr="00B27A0B" w:rsidRDefault="00F17F8A" w:rsidP="00F17F8A">
      <w:pPr>
        <w:spacing w:before="100" w:beforeAutospacing="1" w:after="100" w:afterAutospacing="1"/>
        <w:rPr>
          <w:rFonts w:cs="Times New Roman"/>
          <w:b/>
          <w:color w:val="0070C0"/>
          <w:sz w:val="24"/>
          <w:szCs w:val="24"/>
        </w:rPr>
      </w:pPr>
    </w:p>
    <w:p w:rsidR="00F17F8A" w:rsidRPr="009D484C" w:rsidRDefault="00F17F8A" w:rsidP="00F17F8A">
      <w:pPr>
        <w:spacing w:before="100" w:beforeAutospacing="1" w:after="100" w:afterAutospacing="1" w:line="276" w:lineRule="auto"/>
        <w:ind w:firstLine="0"/>
        <w:rPr>
          <w:rFonts w:cs="Times New Roman"/>
          <w:b/>
          <w:sz w:val="24"/>
          <w:szCs w:val="24"/>
        </w:rPr>
      </w:pPr>
      <w:r w:rsidRPr="009D484C">
        <w:rPr>
          <w:rFonts w:cs="Times New Roman"/>
          <w:b/>
          <w:sz w:val="24"/>
          <w:szCs w:val="24"/>
        </w:rPr>
        <w:t>Организация(и):</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Фонд Организации Объединенных Наций в области народонаселения (ЮНФПА)</w:t>
      </w:r>
    </w:p>
    <w:p w:rsidR="00F17F8A" w:rsidRDefault="00F17F8A" w:rsidP="00F17F8A">
      <w:pPr>
        <w:spacing w:before="100" w:beforeAutospacing="1" w:after="100" w:afterAutospacing="1" w:line="276" w:lineRule="auto"/>
        <w:ind w:firstLine="0"/>
        <w:rPr>
          <w:rFonts w:cs="Times New Roman"/>
          <w:b/>
          <w:sz w:val="24"/>
          <w:szCs w:val="24"/>
        </w:rPr>
      </w:pPr>
    </w:p>
    <w:p w:rsidR="00F17F8A" w:rsidRPr="00B27A0B" w:rsidRDefault="00F17F8A" w:rsidP="00F17F8A">
      <w:pPr>
        <w:pBdr>
          <w:bottom w:val="single" w:sz="12" w:space="4" w:color="DDDDDD"/>
        </w:pBdr>
        <w:spacing w:before="100" w:beforeAutospacing="1" w:after="100" w:afterAutospacing="1" w:line="276" w:lineRule="auto"/>
        <w:ind w:firstLine="0"/>
        <w:rPr>
          <w:rFonts w:cs="Times New Roman"/>
          <w:color w:val="0070C0"/>
          <w:sz w:val="24"/>
          <w:szCs w:val="24"/>
        </w:rPr>
      </w:pPr>
      <w:r w:rsidRPr="00C638C5">
        <w:rPr>
          <w:rFonts w:cs="Times New Roman"/>
          <w:b/>
          <w:color w:val="0070C0"/>
          <w:sz w:val="24"/>
          <w:szCs w:val="24"/>
        </w:rPr>
        <w:t xml:space="preserve">Концепции </w:t>
      </w:r>
      <w:r>
        <w:rPr>
          <w:rFonts w:cs="Times New Roman"/>
          <w:b/>
          <w:color w:val="0070C0"/>
          <w:sz w:val="24"/>
          <w:szCs w:val="24"/>
        </w:rPr>
        <w:t>и определения</w:t>
      </w:r>
      <w:r w:rsidRPr="00A218FA">
        <w:rPr>
          <w:rFonts w:cs="Times New Roman"/>
          <w:b/>
          <w:color w:val="0070C0"/>
          <w:sz w:val="24"/>
          <w:szCs w:val="24"/>
        </w:rPr>
        <w:t xml:space="preserve"> </w:t>
      </w:r>
    </w:p>
    <w:p w:rsidR="00F17F8A" w:rsidRPr="00B27A0B" w:rsidRDefault="00F17F8A" w:rsidP="00F17F8A">
      <w:pPr>
        <w:spacing w:before="100" w:beforeAutospacing="1" w:after="100" w:afterAutospacing="1"/>
        <w:ind w:firstLine="0"/>
        <w:rPr>
          <w:rFonts w:cs="Times New Roman"/>
          <w:b/>
          <w:sz w:val="24"/>
          <w:szCs w:val="24"/>
        </w:rPr>
      </w:pPr>
    </w:p>
    <w:p w:rsidR="00F17F8A" w:rsidRPr="009D484C" w:rsidRDefault="00F17F8A" w:rsidP="00F17F8A">
      <w:pPr>
        <w:spacing w:before="100" w:beforeAutospacing="1" w:after="100" w:afterAutospacing="1" w:line="276" w:lineRule="auto"/>
        <w:ind w:firstLine="0"/>
        <w:rPr>
          <w:rFonts w:cs="Times New Roman"/>
          <w:b/>
          <w:sz w:val="24"/>
          <w:szCs w:val="24"/>
        </w:rPr>
      </w:pPr>
      <w:r w:rsidRPr="009D484C">
        <w:rPr>
          <w:rFonts w:cs="Times New Roman"/>
          <w:b/>
          <w:sz w:val="24"/>
          <w:szCs w:val="24"/>
        </w:rPr>
        <w:t>Определение:</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Показатель 5.6.2 целей в области устойчивого развития (ЦУР) направлен на измерение того, в какой степени страны имеют национальные законы и положения, гарантирующие полный и равный доступ женщин и мужчин в возрасте 15 лет и старше к услугам, информации и образованию в области сексуального и репродуктивного здоровья.</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Показатель представляет собой процентный показатель (%) от 0 до 100 (национальные законы и нормативные акты существуют для обеспечения полного и равного доступа), указывающий на статус страны и прогресс в существовании таких национальных законов и нормативных актов.  Показатель 5.6.2 измеряет только наличие законов и нормативных актов; он не измеряет их осуществление.</w:t>
      </w:r>
    </w:p>
    <w:p w:rsidR="00F17F8A" w:rsidRPr="009D484C" w:rsidRDefault="00F17F8A" w:rsidP="00F17F8A">
      <w:pPr>
        <w:spacing w:before="100" w:beforeAutospacing="1" w:after="100" w:afterAutospacing="1" w:line="276" w:lineRule="auto"/>
        <w:ind w:firstLine="0"/>
        <w:rPr>
          <w:rFonts w:cs="Times New Roman"/>
          <w:sz w:val="24"/>
          <w:szCs w:val="24"/>
        </w:rPr>
      </w:pPr>
    </w:p>
    <w:p w:rsidR="00F17F8A" w:rsidRPr="009D484C" w:rsidRDefault="00F17F8A" w:rsidP="00F17F8A">
      <w:pPr>
        <w:spacing w:before="100" w:beforeAutospacing="1" w:after="100" w:afterAutospacing="1" w:line="276" w:lineRule="auto"/>
        <w:ind w:firstLine="0"/>
        <w:rPr>
          <w:rFonts w:cs="Times New Roman"/>
          <w:b/>
          <w:sz w:val="24"/>
          <w:szCs w:val="24"/>
        </w:rPr>
      </w:pPr>
      <w:r w:rsidRPr="009D484C">
        <w:rPr>
          <w:rFonts w:cs="Times New Roman"/>
          <w:b/>
          <w:sz w:val="24"/>
          <w:szCs w:val="24"/>
        </w:rPr>
        <w:t>Обоснование:</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lastRenderedPageBreak/>
        <w:t>Показатель 5.6.2 призван дать первую всеобъемлющую глобальную оценку нормативно-правовой базы в соответствии с программой действий международной конференции по Народонаселению и развитию (МКНР) 1994 года</w:t>
      </w:r>
      <w:r w:rsidRPr="009D484C">
        <w:rPr>
          <w:rStyle w:val="FootnoteReference"/>
          <w:rFonts w:cs="Times New Roman"/>
          <w:sz w:val="24"/>
          <w:szCs w:val="24"/>
        </w:rPr>
        <w:footnoteReference w:id="1"/>
      </w:r>
      <w:r w:rsidRPr="009D484C">
        <w:rPr>
          <w:rFonts w:cs="Times New Roman"/>
          <w:sz w:val="24"/>
          <w:szCs w:val="24"/>
        </w:rPr>
        <w:t>, пекинской платформой действий</w:t>
      </w:r>
      <w:r w:rsidRPr="009D484C">
        <w:rPr>
          <w:rStyle w:val="FootnoteReference"/>
          <w:rFonts w:cs="Times New Roman"/>
          <w:sz w:val="24"/>
          <w:szCs w:val="24"/>
        </w:rPr>
        <w:footnoteReference w:id="2"/>
      </w:r>
      <w:r w:rsidRPr="009D484C">
        <w:rPr>
          <w:rFonts w:cs="Times New Roman"/>
          <w:sz w:val="24"/>
          <w:szCs w:val="24"/>
        </w:rPr>
        <w:t xml:space="preserve"> и международными стандартами в области прав человека</w:t>
      </w:r>
      <w:r w:rsidRPr="009D484C">
        <w:rPr>
          <w:rStyle w:val="FootnoteReference"/>
          <w:rFonts w:cs="Times New Roman"/>
          <w:sz w:val="24"/>
          <w:szCs w:val="24"/>
        </w:rPr>
        <w:footnoteReference w:id="3"/>
      </w:r>
      <w:r w:rsidRPr="009D484C">
        <w:rPr>
          <w:rFonts w:cs="Times New Roman"/>
          <w:sz w:val="24"/>
          <w:szCs w:val="24"/>
        </w:rPr>
        <w:t>. Показатель измеряет нормативно-правовую базу по четырем тематическим разделам, определяемым как ключевые параметры охраны сексуального и репродуктивного здоровья, информации и образования в соответствии с этими международными консенсусными документами и стандартами в области прав человека:</w:t>
      </w:r>
    </w:p>
    <w:tbl>
      <w:tblPr>
        <w:tblStyle w:val="TableGrid"/>
        <w:tblW w:w="0" w:type="auto"/>
        <w:tblLook w:val="04A0" w:firstRow="1" w:lastRow="0" w:firstColumn="1" w:lastColumn="0" w:noHBand="0" w:noVBand="1"/>
      </w:tblPr>
      <w:tblGrid>
        <w:gridCol w:w="9016"/>
      </w:tblGrid>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rPr>
            </w:pPr>
            <w:r w:rsidRPr="009D484C">
              <w:rPr>
                <w:rFonts w:ascii="Times New Roman" w:eastAsia="Times New Roman" w:hAnsi="Times New Roman" w:cs="Times New Roman"/>
                <w:sz w:val="24"/>
                <w:szCs w:val="24"/>
              </w:rPr>
              <w:t>Услуги по охране материнства</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rPr>
            </w:pPr>
            <w:r w:rsidRPr="009D484C">
              <w:rPr>
                <w:rFonts w:ascii="Times New Roman" w:eastAsia="Times New Roman" w:hAnsi="Times New Roman" w:cs="Times New Roman"/>
                <w:sz w:val="24"/>
                <w:szCs w:val="24"/>
              </w:rPr>
              <w:t>Контрацепция и планирование семьи</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lang w:val="ru-RU"/>
              </w:rPr>
            </w:pPr>
            <w:r w:rsidRPr="009D484C">
              <w:rPr>
                <w:rFonts w:ascii="Times New Roman" w:eastAsia="Times New Roman" w:hAnsi="Times New Roman" w:cs="Times New Roman"/>
                <w:sz w:val="24"/>
                <w:szCs w:val="24"/>
                <w:lang w:val="ru-RU"/>
              </w:rPr>
              <w:t>Комплексное половое воспитание и информация</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rPr>
            </w:pPr>
            <w:r w:rsidRPr="009D484C">
              <w:rPr>
                <w:rFonts w:ascii="Times New Roman" w:eastAsia="Times New Roman" w:hAnsi="Times New Roman" w:cs="Times New Roman"/>
                <w:sz w:val="24"/>
                <w:szCs w:val="24"/>
              </w:rPr>
              <w:t>Сексуальное здоровье и благополучие</w:t>
            </w:r>
          </w:p>
        </w:tc>
      </w:tr>
    </w:tbl>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 xml:space="preserve">Каждая из четырех тематических областей (разделов) представлена отдельными компонентами, которые были разъяснены в ходе консультаций с глобальными экспертами, с тем чтобы отразить темы, которые являются: </w:t>
      </w:r>
      <w:r w:rsidRPr="009D484C">
        <w:rPr>
          <w:rFonts w:cs="Times New Roman"/>
          <w:sz w:val="24"/>
          <w:szCs w:val="24"/>
          <w:lang w:val="en-GB"/>
        </w:rPr>
        <w:t>i</w:t>
      </w:r>
      <w:r w:rsidRPr="009D484C">
        <w:rPr>
          <w:rFonts w:cs="Times New Roman"/>
          <w:sz w:val="24"/>
          <w:szCs w:val="24"/>
        </w:rPr>
        <w:t xml:space="preserve">) критически важными с точки зрения существа; </w:t>
      </w:r>
      <w:r w:rsidRPr="009D484C">
        <w:rPr>
          <w:rFonts w:cs="Times New Roman"/>
          <w:sz w:val="24"/>
          <w:szCs w:val="24"/>
          <w:lang w:val="en-GB"/>
        </w:rPr>
        <w:t>ii</w:t>
      </w:r>
      <w:r w:rsidRPr="009D484C">
        <w:rPr>
          <w:rFonts w:cs="Times New Roman"/>
          <w:sz w:val="24"/>
          <w:szCs w:val="24"/>
        </w:rPr>
        <w:t xml:space="preserve">) охватывают широкий спектр услуг в области сексуального и репродуктивного здоровья, информации и образования; и </w:t>
      </w:r>
      <w:r w:rsidRPr="009D484C">
        <w:rPr>
          <w:rFonts w:cs="Times New Roman"/>
          <w:sz w:val="24"/>
          <w:szCs w:val="24"/>
          <w:lang w:val="en-GB"/>
        </w:rPr>
        <w:t>iii</w:t>
      </w:r>
      <w:r w:rsidRPr="009D484C">
        <w:rPr>
          <w:rFonts w:cs="Times New Roman"/>
          <w:sz w:val="24"/>
          <w:szCs w:val="24"/>
        </w:rPr>
        <w:t>) предметом национальной нормативно-правовой базы.  В общей сложности показатель 5.6.2 измеряет 13 компонентов, классифицированных следующим образом:</w:t>
      </w:r>
    </w:p>
    <w:tbl>
      <w:tblPr>
        <w:tblStyle w:val="TableGrid"/>
        <w:tblW w:w="0" w:type="auto"/>
        <w:tblLook w:val="04A0" w:firstRow="1" w:lastRow="0" w:firstColumn="1" w:lastColumn="0" w:noHBand="0" w:noVBand="1"/>
      </w:tblPr>
      <w:tblGrid>
        <w:gridCol w:w="9016"/>
      </w:tblGrid>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lang w:val="ru-RU"/>
              </w:rPr>
            </w:pPr>
            <w:r w:rsidRPr="009D484C">
              <w:rPr>
                <w:rFonts w:ascii="Times New Roman" w:eastAsia="Times New Roman" w:hAnsi="Times New Roman" w:cs="Times New Roman"/>
                <w:sz w:val="24"/>
                <w:szCs w:val="24"/>
                <w:lang w:val="ru-RU"/>
              </w:rPr>
              <w:t xml:space="preserve">РАЗДЕЛ </w:t>
            </w:r>
            <w:r w:rsidRPr="009D484C">
              <w:rPr>
                <w:rFonts w:ascii="Times New Roman" w:eastAsia="Times New Roman" w:hAnsi="Times New Roman" w:cs="Times New Roman"/>
                <w:sz w:val="24"/>
                <w:szCs w:val="24"/>
              </w:rPr>
              <w:t>I</w:t>
            </w:r>
            <w:r w:rsidRPr="009D484C">
              <w:rPr>
                <w:rFonts w:ascii="Times New Roman" w:eastAsia="Times New Roman" w:hAnsi="Times New Roman" w:cs="Times New Roman"/>
                <w:sz w:val="24"/>
                <w:szCs w:val="24"/>
                <w:lang w:val="ru-RU"/>
              </w:rPr>
              <w:t>: УСЛУГИ ПО ОХРАНЕ МАТЕРИНСТВА</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rPr>
            </w:pPr>
            <w:r w:rsidRPr="009D484C">
              <w:rPr>
                <w:rFonts w:ascii="Times New Roman" w:eastAsia="Times New Roman" w:hAnsi="Times New Roman" w:cs="Times New Roman"/>
                <w:sz w:val="24"/>
                <w:szCs w:val="24"/>
              </w:rPr>
              <w:t>1. Охрана материнства</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rPr>
            </w:pPr>
            <w:r w:rsidRPr="009D484C">
              <w:rPr>
                <w:rFonts w:ascii="Times New Roman" w:eastAsia="Times New Roman" w:hAnsi="Times New Roman" w:cs="Times New Roman"/>
                <w:sz w:val="24"/>
                <w:szCs w:val="24"/>
              </w:rPr>
              <w:t>2. Товары, спасающие жизнь</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rPr>
            </w:pPr>
            <w:r w:rsidRPr="009D484C">
              <w:rPr>
                <w:rFonts w:ascii="Times New Roman" w:eastAsia="Times New Roman" w:hAnsi="Times New Roman" w:cs="Times New Roman"/>
                <w:sz w:val="24"/>
                <w:szCs w:val="24"/>
              </w:rPr>
              <w:t>3. Аборт</w:t>
            </w:r>
          </w:p>
        </w:tc>
      </w:tr>
      <w:tr w:rsidR="00F17F8A" w:rsidRPr="009D484C" w:rsidTr="00B87F9E">
        <w:tc>
          <w:tcPr>
            <w:tcW w:w="9016" w:type="dxa"/>
            <w:tcBorders>
              <w:bottom w:val="single" w:sz="4" w:space="0" w:color="auto"/>
            </w:tcBorders>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rPr>
            </w:pPr>
            <w:r w:rsidRPr="009D484C">
              <w:rPr>
                <w:rFonts w:ascii="Times New Roman" w:eastAsia="Times New Roman" w:hAnsi="Times New Roman" w:cs="Times New Roman"/>
                <w:sz w:val="24"/>
                <w:szCs w:val="24"/>
              </w:rPr>
              <w:t>4. Уход</w:t>
            </w:r>
            <w:r w:rsidRPr="009D484C">
              <w:rPr>
                <w:rFonts w:ascii="Times New Roman" w:eastAsia="Times New Roman" w:hAnsi="Times New Roman" w:cs="Times New Roman"/>
                <w:sz w:val="24"/>
                <w:szCs w:val="24"/>
                <w:lang w:val="ru-RU"/>
              </w:rPr>
              <w:t xml:space="preserve"> </w:t>
            </w:r>
            <w:r w:rsidRPr="009D484C">
              <w:rPr>
                <w:rFonts w:ascii="Times New Roman" w:eastAsia="Times New Roman" w:hAnsi="Times New Roman" w:cs="Times New Roman"/>
                <w:sz w:val="24"/>
                <w:szCs w:val="24"/>
              </w:rPr>
              <w:t>после аборта</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lang w:val="ru-RU"/>
              </w:rPr>
            </w:pPr>
            <w:r w:rsidRPr="009D484C">
              <w:rPr>
                <w:rFonts w:ascii="Times New Roman" w:eastAsia="Times New Roman" w:hAnsi="Times New Roman" w:cs="Times New Roman"/>
                <w:sz w:val="24"/>
                <w:szCs w:val="24"/>
                <w:lang w:val="ru-RU"/>
              </w:rPr>
              <w:t xml:space="preserve">РАЗДЕЛ </w:t>
            </w:r>
            <w:r w:rsidRPr="009D484C">
              <w:rPr>
                <w:rFonts w:ascii="Times New Roman" w:eastAsia="Times New Roman" w:hAnsi="Times New Roman" w:cs="Times New Roman"/>
                <w:sz w:val="24"/>
                <w:szCs w:val="24"/>
              </w:rPr>
              <w:t>II</w:t>
            </w:r>
            <w:r w:rsidRPr="009D484C">
              <w:rPr>
                <w:rFonts w:ascii="Times New Roman" w:eastAsia="Times New Roman" w:hAnsi="Times New Roman" w:cs="Times New Roman"/>
                <w:sz w:val="24"/>
                <w:szCs w:val="24"/>
                <w:lang w:val="ru-RU"/>
              </w:rPr>
              <w:t>: КОНТРАЦЕПЦИЯ И ПЛАНИРОВАНИЕ СЕМЬИ</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rPr>
            </w:pPr>
            <w:r w:rsidRPr="009D484C">
              <w:rPr>
                <w:rFonts w:ascii="Times New Roman" w:eastAsia="Times New Roman" w:hAnsi="Times New Roman" w:cs="Times New Roman"/>
                <w:sz w:val="24"/>
                <w:szCs w:val="24"/>
              </w:rPr>
              <w:t xml:space="preserve">5. </w:t>
            </w:r>
            <w:r w:rsidRPr="009D484C">
              <w:rPr>
                <w:rFonts w:ascii="Times New Roman" w:eastAsia="Times New Roman" w:hAnsi="Times New Roman" w:cs="Times New Roman"/>
                <w:sz w:val="24"/>
                <w:szCs w:val="24"/>
                <w:lang w:val="ru-RU"/>
              </w:rPr>
              <w:t>К</w:t>
            </w:r>
            <w:r w:rsidRPr="009D484C">
              <w:rPr>
                <w:rFonts w:ascii="Times New Roman" w:eastAsia="Times New Roman" w:hAnsi="Times New Roman" w:cs="Times New Roman"/>
                <w:sz w:val="24"/>
                <w:szCs w:val="24"/>
              </w:rPr>
              <w:t>онтрацепция</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rPr>
            </w:pPr>
            <w:r w:rsidRPr="009D484C">
              <w:rPr>
                <w:rFonts w:ascii="Times New Roman" w:eastAsia="Times New Roman" w:hAnsi="Times New Roman" w:cs="Times New Roman"/>
                <w:sz w:val="24"/>
                <w:szCs w:val="24"/>
              </w:rPr>
              <w:t>6. Согласие на контрацептивные услуги</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rPr>
            </w:pPr>
            <w:r w:rsidRPr="009D484C">
              <w:rPr>
                <w:rFonts w:ascii="Times New Roman" w:eastAsia="Times New Roman" w:hAnsi="Times New Roman" w:cs="Times New Roman"/>
                <w:sz w:val="24"/>
                <w:szCs w:val="24"/>
              </w:rPr>
              <w:t>7. Экстренная контрацепция</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lang w:val="ru-RU"/>
              </w:rPr>
            </w:pPr>
            <w:r w:rsidRPr="009D484C">
              <w:rPr>
                <w:rFonts w:ascii="Times New Roman" w:eastAsia="Times New Roman" w:hAnsi="Times New Roman" w:cs="Times New Roman"/>
                <w:sz w:val="24"/>
                <w:szCs w:val="24"/>
                <w:lang w:val="ru-RU"/>
              </w:rPr>
              <w:t xml:space="preserve">РАЗДЕЛ </w:t>
            </w:r>
            <w:r w:rsidRPr="009D484C">
              <w:rPr>
                <w:rFonts w:ascii="Times New Roman" w:eastAsia="Times New Roman" w:hAnsi="Times New Roman" w:cs="Times New Roman"/>
                <w:sz w:val="24"/>
                <w:szCs w:val="24"/>
              </w:rPr>
              <w:t>III</w:t>
            </w:r>
            <w:r w:rsidRPr="009D484C">
              <w:rPr>
                <w:rFonts w:ascii="Times New Roman" w:eastAsia="Times New Roman" w:hAnsi="Times New Roman" w:cs="Times New Roman"/>
                <w:sz w:val="24"/>
                <w:szCs w:val="24"/>
                <w:lang w:val="ru-RU"/>
              </w:rPr>
              <w:t>: ВСЕОБЪЕМЛЮЩЕЕ ПОЛОВОЕ ПРОСВЕЩЕНИЕ И ИНФОРМАЦИЯ</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lang w:val="en-US"/>
              </w:rPr>
            </w:pPr>
            <w:r w:rsidRPr="009D484C">
              <w:rPr>
                <w:rFonts w:ascii="Times New Roman" w:eastAsia="Times New Roman" w:hAnsi="Times New Roman" w:cs="Times New Roman"/>
                <w:sz w:val="24"/>
                <w:szCs w:val="24"/>
              </w:rPr>
              <w:t xml:space="preserve">8. </w:t>
            </w:r>
            <w:r w:rsidRPr="009D484C">
              <w:rPr>
                <w:rFonts w:ascii="Times New Roman" w:eastAsia="Times New Roman" w:hAnsi="Times New Roman" w:cs="Times New Roman"/>
                <w:sz w:val="24"/>
                <w:szCs w:val="24"/>
                <w:lang w:val="ru-RU"/>
              </w:rPr>
              <w:t>Закон</w:t>
            </w:r>
            <w:r w:rsidRPr="009D484C">
              <w:rPr>
                <w:rFonts w:ascii="Times New Roman" w:eastAsia="Times New Roman" w:hAnsi="Times New Roman" w:cs="Times New Roman"/>
                <w:sz w:val="24"/>
                <w:szCs w:val="24"/>
              </w:rPr>
              <w:t xml:space="preserve"> CSE </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lang w:val="en-US"/>
              </w:rPr>
            </w:pPr>
            <w:r w:rsidRPr="009D484C">
              <w:rPr>
                <w:rFonts w:ascii="Times New Roman" w:eastAsia="Times New Roman" w:hAnsi="Times New Roman" w:cs="Times New Roman"/>
                <w:sz w:val="24"/>
                <w:szCs w:val="24"/>
              </w:rPr>
              <w:lastRenderedPageBreak/>
              <w:t xml:space="preserve">9. Учебная программа CSE </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lang w:val="ru-RU"/>
              </w:rPr>
            </w:pPr>
            <w:r w:rsidRPr="009D484C">
              <w:rPr>
                <w:rFonts w:ascii="Times New Roman" w:eastAsia="Times New Roman" w:hAnsi="Times New Roman" w:cs="Times New Roman"/>
                <w:sz w:val="24"/>
                <w:szCs w:val="24"/>
                <w:lang w:val="ru-RU"/>
              </w:rPr>
              <w:t xml:space="preserve">РАЗДЕЛ </w:t>
            </w:r>
            <w:r w:rsidRPr="009D484C">
              <w:rPr>
                <w:rFonts w:ascii="Times New Roman" w:eastAsia="Times New Roman" w:hAnsi="Times New Roman" w:cs="Times New Roman"/>
                <w:sz w:val="24"/>
                <w:szCs w:val="24"/>
              </w:rPr>
              <w:t>IV</w:t>
            </w:r>
            <w:r w:rsidRPr="009D484C">
              <w:rPr>
                <w:rFonts w:ascii="Times New Roman" w:eastAsia="Times New Roman" w:hAnsi="Times New Roman" w:cs="Times New Roman"/>
                <w:sz w:val="24"/>
                <w:szCs w:val="24"/>
                <w:lang w:val="ru-RU"/>
              </w:rPr>
              <w:t>: СЕКСУАЛЬНОЕ ЗДОРОВЬЕ И БЛАГОПОЛУЧИЕ</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lang w:val="ru-RU"/>
              </w:rPr>
            </w:pPr>
            <w:r w:rsidRPr="009D484C">
              <w:rPr>
                <w:rFonts w:ascii="Times New Roman" w:eastAsia="Times New Roman" w:hAnsi="Times New Roman" w:cs="Times New Roman"/>
                <w:sz w:val="24"/>
                <w:szCs w:val="24"/>
                <w:lang w:val="ru-RU"/>
              </w:rPr>
              <w:t>10. Тестирование на ВИЧ и консультирование</w:t>
            </w:r>
          </w:p>
        </w:tc>
      </w:tr>
      <w:tr w:rsidR="00F17F8A" w:rsidRPr="009D484C" w:rsidTr="00B87F9E">
        <w:tc>
          <w:tcPr>
            <w:tcW w:w="9016" w:type="dxa"/>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lang w:val="ru-RU"/>
              </w:rPr>
            </w:pPr>
            <w:r w:rsidRPr="009D484C">
              <w:rPr>
                <w:rFonts w:ascii="Times New Roman" w:eastAsia="Times New Roman" w:hAnsi="Times New Roman" w:cs="Times New Roman"/>
                <w:sz w:val="24"/>
                <w:szCs w:val="24"/>
                <w:lang w:val="ru-RU"/>
              </w:rPr>
              <w:t>11. Лечение и уход в связи с ВИЧ</w:t>
            </w:r>
          </w:p>
        </w:tc>
      </w:tr>
      <w:tr w:rsidR="00F17F8A" w:rsidRPr="009D484C" w:rsidTr="00B87F9E">
        <w:tc>
          <w:tcPr>
            <w:tcW w:w="9016" w:type="dxa"/>
            <w:tcBorders>
              <w:bottom w:val="single" w:sz="4" w:space="0" w:color="auto"/>
            </w:tcBorders>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lang w:val="ru-RU"/>
              </w:rPr>
            </w:pPr>
            <w:r w:rsidRPr="009D484C">
              <w:rPr>
                <w:rFonts w:ascii="Times New Roman" w:eastAsia="Times New Roman" w:hAnsi="Times New Roman" w:cs="Times New Roman"/>
                <w:sz w:val="24"/>
                <w:szCs w:val="24"/>
                <w:lang w:val="ru-RU"/>
              </w:rPr>
              <w:t>12. Конфиденциальность состояния здоровья мужчин и женщин, живущих с ВИЧ</w:t>
            </w:r>
          </w:p>
        </w:tc>
      </w:tr>
      <w:tr w:rsidR="00F17F8A" w:rsidRPr="009D484C" w:rsidTr="00B87F9E">
        <w:tc>
          <w:tcPr>
            <w:tcW w:w="9016" w:type="dxa"/>
            <w:tcBorders>
              <w:bottom w:val="single" w:sz="4" w:space="0" w:color="auto"/>
            </w:tcBorders>
          </w:tcPr>
          <w:p w:rsidR="00F17F8A" w:rsidRPr="009D484C" w:rsidRDefault="00F17F8A" w:rsidP="00B87F9E">
            <w:pPr>
              <w:spacing w:before="100" w:beforeAutospacing="1" w:after="100" w:afterAutospacing="1" w:line="276" w:lineRule="auto"/>
              <w:jc w:val="both"/>
              <w:rPr>
                <w:rFonts w:ascii="Times New Roman" w:eastAsia="Times New Roman" w:hAnsi="Times New Roman" w:cs="Times New Roman"/>
                <w:sz w:val="24"/>
                <w:szCs w:val="24"/>
              </w:rPr>
            </w:pPr>
            <w:r w:rsidRPr="009D484C">
              <w:rPr>
                <w:rFonts w:ascii="Times New Roman" w:eastAsia="Times New Roman" w:hAnsi="Times New Roman" w:cs="Times New Roman"/>
                <w:sz w:val="24"/>
                <w:szCs w:val="24"/>
              </w:rPr>
              <w:t>13. Вакцина против ВПЧ</w:t>
            </w:r>
          </w:p>
        </w:tc>
      </w:tr>
    </w:tbl>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По каждому из 13 компонентов собирается информация о наличии i) конкретных правовых инструментов (позитивные законы и нормативные акты) и ii) конкретных правовых барьеров</w:t>
      </w:r>
      <w:r w:rsidRPr="009D484C">
        <w:rPr>
          <w:rStyle w:val="FootnoteReference"/>
          <w:rFonts w:cs="Times New Roman"/>
          <w:sz w:val="24"/>
          <w:szCs w:val="24"/>
        </w:rPr>
        <w:footnoteReference w:id="4"/>
      </w:r>
      <w:r w:rsidRPr="009D484C">
        <w:rPr>
          <w:rFonts w:cs="Times New Roman"/>
          <w:sz w:val="24"/>
          <w:szCs w:val="24"/>
        </w:rPr>
        <w:t>. Такие барьеры включают в себя ограничения в отношении позитивных законов и положений (например, по возрасту, полу, семейному положению и требованию в отношении разрешения третьей стороны), а также многочисленные правовые системы, которые противоречат существующим позитивным законам и положениям. Для каждого компонента конкретные факторы и барьеры, по которым собираются данные, определяются как основные факторы и барьеры для этого компонента.  Даже там, где действуют позитивные законы, правовые барьеры могут препятствовать полному и равному доступу к услугам, информации и образованию в области сексуального и репродуктивного здоровья; методология призвана обеспечить учет этого.</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Процентная оценка отражает статус страны и прогресс в существовании национальных законов и положений, гарантирующих полный и равный доступ к услугам в области сексуального и репродуктивного здоровья, информации и образования.  Отражая “степень, в которой” страны гарантируют полный и равный доступ к услугам в области сексуального и репродуктивного здоровья, информации и образования, этот показатель позволяет проводить межстрановые сопоставления и фиксировать достигнутый внутри страны прогресс с течением времени.</w:t>
      </w:r>
    </w:p>
    <w:p w:rsidR="00F17F8A" w:rsidRPr="002A0FB4" w:rsidRDefault="00F17F8A" w:rsidP="00F17F8A">
      <w:pPr>
        <w:spacing w:before="100" w:beforeAutospacing="1" w:after="100" w:afterAutospacing="1" w:line="276" w:lineRule="auto"/>
        <w:ind w:firstLine="0"/>
        <w:rPr>
          <w:rFonts w:cs="Times New Roman"/>
          <w:b/>
          <w:sz w:val="24"/>
          <w:szCs w:val="24"/>
        </w:rPr>
      </w:pPr>
    </w:p>
    <w:p w:rsidR="00F17F8A" w:rsidRPr="009D484C" w:rsidRDefault="00F17F8A" w:rsidP="00F17F8A">
      <w:pPr>
        <w:spacing w:before="100" w:beforeAutospacing="1" w:after="100" w:afterAutospacing="1" w:line="276" w:lineRule="auto"/>
        <w:ind w:firstLine="0"/>
        <w:rPr>
          <w:rFonts w:cs="Times New Roman"/>
          <w:b/>
          <w:sz w:val="24"/>
          <w:szCs w:val="24"/>
        </w:rPr>
      </w:pPr>
      <w:r w:rsidRPr="009D484C">
        <w:rPr>
          <w:rFonts w:cs="Times New Roman"/>
          <w:b/>
          <w:sz w:val="24"/>
          <w:szCs w:val="24"/>
        </w:rPr>
        <w:t>Основные понятия:</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Законы: законы и уставы – это официальные правила поведения или действия, предписанные или официально признанные обязательными или применяемые контролирующим органом, который регулирует поведение субъектов (включая людей, корпорации, ассоциации, правительственные учреждения).  Они принимаются или ратифицируются законодательной ветвью власти и могут официально признаваться в Конституции или толковаться судами.  Законы, регулирующие сексуальное и репродуктивное здоровье, необязательно содержатся в одном законе.</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 xml:space="preserve">Правила: считаются исполнительными, министерскими или иными административными распоряжениями или указами. На муниципальном уровне нормативные акты иногда называют постановлениями.  Правила и предписания государственных органов имеют </w:t>
      </w:r>
      <w:r w:rsidRPr="009D484C">
        <w:rPr>
          <w:rFonts w:cs="Times New Roman"/>
          <w:sz w:val="24"/>
          <w:szCs w:val="24"/>
        </w:rPr>
        <w:lastRenderedPageBreak/>
        <w:t xml:space="preserve">силу закона, хотя и ограниченную по уровню полномочий.  В соответствии с этой методологией рассматриваются только правила, применяемые на национальном уровне. Ограничения: многие законы и нормативные акты содержат ограничения в сфере их применения.  Такие ограничения, которые включают, хотя и не ограничиваются ими, ограничения по возрасту, полу, семейному положению и требованию разрешения третьей стороны, препятствуют </w:t>
      </w:r>
      <w:r w:rsidRPr="009D484C">
        <w:rPr>
          <w:rFonts w:cs="Times New Roman"/>
          <w:i/>
          <w:sz w:val="24"/>
          <w:szCs w:val="24"/>
        </w:rPr>
        <w:t>полному и равному доступу к услугам, информации и образованию в области сексуального и репродуктивного здоровья.</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 xml:space="preserve">Смешанные правовые системы: определяются как правовые системы, в которых сосуществуют несколько источников права.  Такие правовые системы, как правило, развивались в течение определенного периода времени в результате колониального наследования, религии и других социально-культурных факторов. Примеры источников права, которые могут сосуществовать в рамках множественной правовой системы, включают: английское общее право, французское гражданское или иное право, статутное право, обычное и религиозное право.  Сосуществование многочисленных источников права может привести к возникновению фундаментальных противоречий в правовой системе, что создает препятствия для </w:t>
      </w:r>
      <w:r w:rsidRPr="009D484C">
        <w:rPr>
          <w:rFonts w:cs="Times New Roman"/>
          <w:i/>
          <w:sz w:val="24"/>
          <w:szCs w:val="24"/>
        </w:rPr>
        <w:t>полного и равного доступа к услугам, информации и образованию в области сексуального и репродуктивного здоровья.</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«Гарантия» (доступ): для этой методологии «гарантия» понимается в отношении закона или правила, которые обеспечивают определенный результат или условие. В методологии признается, что законы могут только «в принципе» это гарантировать; чтобы результаты были полностью реализованы на практике, необходимо будет предпринять дополнительные шаги, включая политические и бюджетные меры.</w:t>
      </w:r>
    </w:p>
    <w:p w:rsidR="00F17F8A" w:rsidRPr="002A0FB4" w:rsidRDefault="00F17F8A" w:rsidP="00F17F8A">
      <w:pPr>
        <w:spacing w:before="100" w:beforeAutospacing="1" w:after="100" w:afterAutospacing="1" w:line="276" w:lineRule="auto"/>
        <w:ind w:firstLine="0"/>
        <w:rPr>
          <w:rFonts w:cs="Times New Roman"/>
          <w:b/>
          <w:sz w:val="24"/>
          <w:szCs w:val="24"/>
        </w:rPr>
      </w:pPr>
    </w:p>
    <w:p w:rsidR="00F17F8A" w:rsidRPr="009D484C" w:rsidRDefault="00F17F8A" w:rsidP="00F17F8A">
      <w:pPr>
        <w:spacing w:before="100" w:beforeAutospacing="1" w:after="100" w:afterAutospacing="1" w:line="276" w:lineRule="auto"/>
        <w:ind w:firstLine="0"/>
        <w:rPr>
          <w:rFonts w:cs="Times New Roman"/>
          <w:b/>
          <w:sz w:val="24"/>
          <w:szCs w:val="24"/>
        </w:rPr>
      </w:pPr>
      <w:r w:rsidRPr="009D484C">
        <w:rPr>
          <w:rFonts w:cs="Times New Roman"/>
          <w:b/>
          <w:sz w:val="24"/>
          <w:szCs w:val="24"/>
        </w:rPr>
        <w:t>Комментарии и ограничения:</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Показатель 5.6.2 измеряет исключительно наличие законов и нормативных актов и препятствия для их исполнения</w:t>
      </w:r>
      <w:r>
        <w:rPr>
          <w:rFonts w:cs="Times New Roman"/>
          <w:sz w:val="24"/>
          <w:szCs w:val="24"/>
        </w:rPr>
        <w:t xml:space="preserve">. </w:t>
      </w:r>
      <w:r w:rsidRPr="009D484C">
        <w:rPr>
          <w:rFonts w:cs="Times New Roman"/>
          <w:sz w:val="24"/>
          <w:szCs w:val="24"/>
        </w:rPr>
        <w:t xml:space="preserve">Он не измеряет </w:t>
      </w:r>
      <w:r w:rsidRPr="009D484C">
        <w:rPr>
          <w:rFonts w:cs="Times New Roman"/>
          <w:i/>
          <w:sz w:val="24"/>
          <w:szCs w:val="24"/>
        </w:rPr>
        <w:t>осуществление</w:t>
      </w:r>
      <w:r w:rsidRPr="009D484C">
        <w:rPr>
          <w:rFonts w:cs="Times New Roman"/>
          <w:sz w:val="24"/>
          <w:szCs w:val="24"/>
        </w:rPr>
        <w:t xml:space="preserve"> таких законов/положений. Кроме того, 13 компонентов призваны служить ориентировочными показателями охраны сексуального и репродуктивного здоровья, информации и образования, а не полным или исчерпывающим перечнем услуг, информации и образования. Эти компоненты были отобраны, поскольку они были определены в качестве ключевых параметров в соответствии с международными консенсусными документами и стандартами в области прав человека.</w:t>
      </w:r>
    </w:p>
    <w:p w:rsidR="00F17F8A" w:rsidRDefault="00F17F8A" w:rsidP="00F17F8A">
      <w:pPr>
        <w:spacing w:before="100" w:beforeAutospacing="1" w:after="100" w:afterAutospacing="1" w:line="276" w:lineRule="auto"/>
        <w:ind w:firstLine="0"/>
        <w:rPr>
          <w:rFonts w:cs="Times New Roman"/>
          <w:b/>
          <w:sz w:val="24"/>
          <w:szCs w:val="24"/>
        </w:rPr>
      </w:pPr>
    </w:p>
    <w:p w:rsidR="00F17F8A" w:rsidRPr="00B27A0B" w:rsidRDefault="00F17F8A" w:rsidP="00F17F8A">
      <w:pPr>
        <w:pBdr>
          <w:bottom w:val="single" w:sz="12" w:space="4" w:color="DDDDDD"/>
        </w:pBdr>
        <w:spacing w:before="100" w:beforeAutospacing="1" w:after="100" w:afterAutospacing="1" w:line="276" w:lineRule="auto"/>
        <w:ind w:firstLine="0"/>
        <w:rPr>
          <w:rFonts w:cs="Times New Roman"/>
          <w:color w:val="0070C0"/>
          <w:sz w:val="24"/>
          <w:szCs w:val="24"/>
        </w:rPr>
      </w:pPr>
      <w:r>
        <w:rPr>
          <w:rFonts w:cs="Times New Roman"/>
          <w:b/>
          <w:color w:val="0070C0"/>
          <w:sz w:val="24"/>
          <w:szCs w:val="24"/>
        </w:rPr>
        <w:t xml:space="preserve">Методология </w:t>
      </w:r>
    </w:p>
    <w:p w:rsidR="00F17F8A" w:rsidRPr="00B27A0B" w:rsidRDefault="00F17F8A" w:rsidP="00F17F8A">
      <w:pPr>
        <w:spacing w:before="100" w:beforeAutospacing="1" w:after="100" w:afterAutospacing="1"/>
        <w:ind w:firstLine="0"/>
        <w:rPr>
          <w:rFonts w:cs="Times New Roman"/>
          <w:b/>
          <w:color w:val="0070C0"/>
          <w:sz w:val="24"/>
          <w:szCs w:val="24"/>
        </w:rPr>
      </w:pPr>
    </w:p>
    <w:p w:rsidR="00F17F8A" w:rsidRPr="009D484C" w:rsidRDefault="00F17F8A" w:rsidP="00F17F8A">
      <w:pPr>
        <w:spacing w:before="100" w:beforeAutospacing="1" w:after="100" w:afterAutospacing="1" w:line="276" w:lineRule="auto"/>
        <w:ind w:firstLine="0"/>
        <w:rPr>
          <w:rFonts w:cs="Times New Roman"/>
          <w:b/>
          <w:sz w:val="24"/>
          <w:szCs w:val="24"/>
        </w:rPr>
      </w:pPr>
      <w:r w:rsidRPr="009D484C">
        <w:rPr>
          <w:rFonts w:cs="Times New Roman"/>
          <w:b/>
          <w:sz w:val="24"/>
          <w:szCs w:val="24"/>
        </w:rPr>
        <w:t>Метод расчета:</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lastRenderedPageBreak/>
        <w:t>Показатель измеряет конкретные юридические механизмы и барьеры для 13 компонентов по четырем тематическим областям. Для расчета показателя требуются данные для всех 13 компонентов, а затем вычисление общего балла по этим значениям.</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13 компонентов размещены в одном и том же масштабе, причем 0% - самое низкое значение, а 100% - наиболее оптимальное значение. Каждый компонент оценивается независимо и взвешенно одинаково. Оценка для данного компонента рассчитывается как:</w:t>
      </w:r>
    </w:p>
    <w:p w:rsidR="00F17F8A" w:rsidRPr="009D484C" w:rsidRDefault="00F17F8A" w:rsidP="00F17F8A">
      <w:pPr>
        <w:spacing w:before="100" w:beforeAutospacing="1" w:after="100" w:afterAutospacing="1" w:line="276" w:lineRule="auto"/>
        <w:ind w:firstLine="0"/>
        <w:rPr>
          <w:rFonts w:cs="Times New Roman"/>
          <w:b/>
          <w:sz w:val="24"/>
          <w:szCs w:val="24"/>
        </w:rPr>
      </w:pPr>
      <w:r w:rsidRPr="009D484C">
        <w:rPr>
          <w:rFonts w:cs="Times New Roman"/>
          <w:b/>
          <w:sz w:val="24"/>
          <w:szCs w:val="24"/>
        </w:rPr>
        <w:t>((Количество существующих факторов/Общее количество факторов) - (Количество существующих барьеров/Общее количество барьеров)) * 100</w:t>
      </w:r>
    </w:p>
    <w:p w:rsidR="00F17F8A" w:rsidRPr="009D484C" w:rsidRDefault="00F17F8A" w:rsidP="00F17F8A">
      <w:pPr>
        <w:spacing w:before="100" w:beforeAutospacing="1" w:after="100" w:afterAutospacing="1" w:line="276" w:lineRule="auto"/>
        <w:ind w:firstLine="0"/>
        <w:rPr>
          <w:rFonts w:cs="Times New Roman"/>
          <w:sz w:val="24"/>
          <w:szCs w:val="24"/>
        </w:rPr>
      </w:pPr>
      <w:hyperlink r:id="rId8" w:history="1">
        <w:r w:rsidRPr="009D484C">
          <w:rPr>
            <w:rStyle w:val="Hyperlink"/>
            <w:rFonts w:cs="Times New Roman"/>
            <w:sz w:val="24"/>
            <w:szCs w:val="24"/>
          </w:rPr>
          <w:t>Здесь</w:t>
        </w:r>
      </w:hyperlink>
      <w:r w:rsidRPr="009D484C">
        <w:rPr>
          <w:rFonts w:cs="Times New Roman"/>
          <w:sz w:val="24"/>
          <w:szCs w:val="24"/>
        </w:rPr>
        <w:t xml:space="preserve"> можно оценить детали подхода оценки, относящегося к каждому отдельному компоненту.</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Общая оценка для показателя 5.6.2 рассчитывается как среднее арифметическое для 13 компонентных оценок. Аналогично, оценка для каждой тематической секции рассчитывается как среднее арифметическое для ее составляющих компонентов.</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Оценка будет оценена для любых тонкостей относительного веса средств защиты до барьеров, как только данные будут собраны и оценены как минимум для 50 стран.</w:t>
      </w:r>
    </w:p>
    <w:p w:rsidR="00F17F8A" w:rsidRPr="002A0FB4" w:rsidRDefault="00F17F8A" w:rsidP="00F17F8A">
      <w:pPr>
        <w:spacing w:before="100" w:beforeAutospacing="1" w:after="100" w:afterAutospacing="1" w:line="276" w:lineRule="auto"/>
        <w:ind w:firstLine="0"/>
        <w:rPr>
          <w:rFonts w:cs="Times New Roman"/>
          <w:b/>
          <w:sz w:val="24"/>
          <w:szCs w:val="24"/>
        </w:rPr>
      </w:pPr>
    </w:p>
    <w:p w:rsidR="00F17F8A" w:rsidRPr="009D484C" w:rsidRDefault="00F17F8A" w:rsidP="00F17F8A">
      <w:pPr>
        <w:spacing w:before="100" w:beforeAutospacing="1" w:after="100" w:afterAutospacing="1" w:line="276" w:lineRule="auto"/>
        <w:ind w:firstLine="0"/>
        <w:rPr>
          <w:rFonts w:cs="Times New Roman"/>
          <w:b/>
          <w:sz w:val="24"/>
          <w:szCs w:val="24"/>
        </w:rPr>
      </w:pPr>
      <w:r w:rsidRPr="009D484C">
        <w:rPr>
          <w:rFonts w:cs="Times New Roman"/>
          <w:b/>
          <w:sz w:val="24"/>
          <w:szCs w:val="24"/>
        </w:rPr>
        <w:t>Дезагрегация:</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Данные будут дезагрегированы по тематическому разделу. Это позволит странам определить конкретные области сексуального и репродуктивного здоровья, информацию и образование, в которых требуется прогресс.</w:t>
      </w:r>
    </w:p>
    <w:p w:rsidR="00F17F8A" w:rsidRPr="002A0FB4" w:rsidRDefault="00F17F8A" w:rsidP="00F17F8A">
      <w:pPr>
        <w:spacing w:before="100" w:beforeAutospacing="1" w:after="100" w:afterAutospacing="1" w:line="276" w:lineRule="auto"/>
        <w:ind w:firstLine="0"/>
        <w:rPr>
          <w:rFonts w:cs="Times New Roman"/>
          <w:sz w:val="24"/>
          <w:szCs w:val="24"/>
        </w:rPr>
      </w:pPr>
    </w:p>
    <w:p w:rsidR="00F17F8A" w:rsidRPr="00DD2847" w:rsidRDefault="00F17F8A" w:rsidP="00F17F8A">
      <w:pPr>
        <w:spacing w:before="100" w:beforeAutospacing="1" w:after="100" w:afterAutospacing="1" w:line="276" w:lineRule="auto"/>
        <w:ind w:firstLine="0"/>
        <w:rPr>
          <w:rFonts w:cs="Times New Roman"/>
          <w:b/>
          <w:sz w:val="24"/>
          <w:szCs w:val="24"/>
        </w:rPr>
      </w:pPr>
      <w:r w:rsidRPr="00DD2847">
        <w:rPr>
          <w:rFonts w:cs="Times New Roman"/>
          <w:b/>
          <w:sz w:val="24"/>
          <w:szCs w:val="24"/>
        </w:rPr>
        <w:t>Обработка отсутствующих значений:</w:t>
      </w:r>
    </w:p>
    <w:p w:rsidR="00F17F8A" w:rsidRPr="002A0FB4" w:rsidRDefault="00F17F8A" w:rsidP="00F17F8A">
      <w:pPr>
        <w:pStyle w:val="ListParagraph"/>
        <w:numPr>
          <w:ilvl w:val="0"/>
          <w:numId w:val="5"/>
        </w:numPr>
        <w:spacing w:before="100" w:beforeAutospacing="1" w:after="100" w:afterAutospacing="1" w:line="276" w:lineRule="auto"/>
        <w:rPr>
          <w:rFonts w:cs="Times New Roman"/>
          <w:b/>
          <w:color w:val="0070C0"/>
          <w:sz w:val="24"/>
          <w:szCs w:val="24"/>
        </w:rPr>
      </w:pPr>
      <w:r w:rsidRPr="002A0FB4">
        <w:rPr>
          <w:rFonts w:cs="Times New Roman"/>
          <w:b/>
          <w:color w:val="0070C0"/>
          <w:sz w:val="24"/>
          <w:szCs w:val="24"/>
        </w:rPr>
        <w:t>На уровне</w:t>
      </w:r>
      <w:r w:rsidRPr="002A0FB4">
        <w:rPr>
          <w:rFonts w:cs="Times New Roman"/>
          <w:b/>
          <w:color w:val="0070C0"/>
          <w:sz w:val="24"/>
          <w:szCs w:val="24"/>
          <w:lang w:val="en-US"/>
        </w:rPr>
        <w:t xml:space="preserve"> </w:t>
      </w:r>
      <w:r w:rsidRPr="002A0FB4">
        <w:rPr>
          <w:rFonts w:cs="Times New Roman"/>
          <w:b/>
          <w:color w:val="0070C0"/>
          <w:sz w:val="24"/>
          <w:szCs w:val="24"/>
        </w:rPr>
        <w:t>страны:</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Для стран с отсутствующими значениями вменения не осуществляются.</w:t>
      </w:r>
    </w:p>
    <w:p w:rsidR="00F17F8A" w:rsidRPr="002A0FB4" w:rsidRDefault="00F17F8A" w:rsidP="00F17F8A">
      <w:pPr>
        <w:pStyle w:val="ListParagraph"/>
        <w:numPr>
          <w:ilvl w:val="0"/>
          <w:numId w:val="5"/>
        </w:numPr>
        <w:spacing w:before="100" w:beforeAutospacing="1" w:after="100" w:afterAutospacing="1" w:line="276" w:lineRule="auto"/>
        <w:rPr>
          <w:rFonts w:cs="Times New Roman"/>
          <w:b/>
          <w:color w:val="0070C0"/>
          <w:sz w:val="24"/>
          <w:szCs w:val="24"/>
        </w:rPr>
      </w:pPr>
      <w:r w:rsidRPr="002A0FB4">
        <w:rPr>
          <w:rFonts w:cs="Times New Roman"/>
          <w:b/>
          <w:color w:val="0070C0"/>
          <w:sz w:val="24"/>
          <w:szCs w:val="24"/>
        </w:rPr>
        <w:t>На региональном и глобальном уровнях:</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На региональном и глобальном уровнях вменения не осуществляются.</w:t>
      </w:r>
    </w:p>
    <w:p w:rsidR="00F17F8A" w:rsidRDefault="00F17F8A" w:rsidP="00F17F8A">
      <w:pPr>
        <w:spacing w:before="100" w:beforeAutospacing="1" w:after="100" w:afterAutospacing="1" w:line="276" w:lineRule="auto"/>
        <w:ind w:firstLine="0"/>
        <w:rPr>
          <w:rFonts w:cs="Times New Roman"/>
          <w:sz w:val="24"/>
          <w:szCs w:val="24"/>
        </w:rPr>
      </w:pPr>
    </w:p>
    <w:p w:rsidR="00F17F8A" w:rsidRPr="00DD2847" w:rsidRDefault="00F17F8A" w:rsidP="00F17F8A">
      <w:pPr>
        <w:spacing w:before="100" w:beforeAutospacing="1" w:after="100" w:afterAutospacing="1" w:line="276" w:lineRule="auto"/>
        <w:ind w:firstLine="0"/>
        <w:rPr>
          <w:rFonts w:cs="Times New Roman"/>
          <w:b/>
          <w:sz w:val="24"/>
          <w:szCs w:val="24"/>
        </w:rPr>
      </w:pPr>
      <w:r w:rsidRPr="00DD2847">
        <w:rPr>
          <w:rFonts w:cs="Times New Roman"/>
          <w:b/>
          <w:sz w:val="24"/>
          <w:szCs w:val="24"/>
        </w:rPr>
        <w:t>Региональные показатели:</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Региональные и глобальные показатели рассчитываются как невзвешенные средние баллы по странам для стран-учредителей.</w:t>
      </w:r>
    </w:p>
    <w:p w:rsidR="00F17F8A" w:rsidRDefault="00F17F8A" w:rsidP="00F17F8A">
      <w:pPr>
        <w:spacing w:before="100" w:beforeAutospacing="1" w:after="100" w:afterAutospacing="1" w:line="276" w:lineRule="auto"/>
        <w:ind w:firstLine="0"/>
        <w:rPr>
          <w:rFonts w:cs="Times New Roman"/>
          <w:b/>
          <w:sz w:val="24"/>
          <w:szCs w:val="24"/>
        </w:rPr>
      </w:pPr>
    </w:p>
    <w:p w:rsidR="00F17F8A" w:rsidRPr="009D484C" w:rsidRDefault="00F17F8A" w:rsidP="00F17F8A">
      <w:pPr>
        <w:spacing w:before="100" w:beforeAutospacing="1" w:after="100" w:afterAutospacing="1" w:line="276" w:lineRule="auto"/>
        <w:ind w:firstLine="0"/>
        <w:rPr>
          <w:rFonts w:cs="Times New Roman"/>
          <w:b/>
          <w:sz w:val="24"/>
          <w:szCs w:val="24"/>
        </w:rPr>
      </w:pPr>
      <w:r w:rsidRPr="009D484C">
        <w:rPr>
          <w:rFonts w:cs="Times New Roman"/>
          <w:b/>
          <w:sz w:val="24"/>
          <w:szCs w:val="24"/>
        </w:rPr>
        <w:t>Источники расхождения:</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Не применимо, поскольку показатель 5.6.2 основывается на официальных данных, предоставленных национальными правительствами, и оценка на международном уровне не производится.</w:t>
      </w:r>
    </w:p>
    <w:p w:rsidR="00F17F8A" w:rsidRDefault="00F17F8A" w:rsidP="00F17F8A">
      <w:pPr>
        <w:spacing w:before="100" w:beforeAutospacing="1" w:after="100" w:afterAutospacing="1" w:line="276" w:lineRule="auto"/>
        <w:ind w:firstLine="0"/>
        <w:rPr>
          <w:rFonts w:cs="Times New Roman"/>
          <w:b/>
          <w:sz w:val="24"/>
          <w:szCs w:val="24"/>
        </w:rPr>
      </w:pPr>
    </w:p>
    <w:p w:rsidR="00F17F8A" w:rsidRPr="009D484C" w:rsidRDefault="00F17F8A" w:rsidP="00F17F8A">
      <w:pPr>
        <w:spacing w:before="100" w:beforeAutospacing="1" w:after="100" w:afterAutospacing="1" w:line="276" w:lineRule="auto"/>
        <w:ind w:firstLine="0"/>
        <w:rPr>
          <w:rFonts w:cs="Times New Roman"/>
          <w:b/>
          <w:sz w:val="24"/>
          <w:szCs w:val="24"/>
        </w:rPr>
      </w:pPr>
      <w:r w:rsidRPr="009D484C">
        <w:rPr>
          <w:rFonts w:cs="Times New Roman"/>
          <w:b/>
          <w:sz w:val="24"/>
          <w:szCs w:val="24"/>
        </w:rPr>
        <w:t>Методы и рекомендации, доступные странам для составления данных на национальном уровне:</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 xml:space="preserve">Для сбора данных на национальном уровне используется </w:t>
      </w:r>
      <w:hyperlink r:id="rId9" w:history="1">
        <w:r w:rsidRPr="009D484C">
          <w:rPr>
            <w:rFonts w:cs="Times New Roman"/>
            <w:color w:val="0000FF" w:themeColor="hyperlink"/>
            <w:sz w:val="24"/>
            <w:szCs w:val="24"/>
            <w:u w:val="single"/>
          </w:rPr>
          <w:t>электронное обследование с инструкциями</w:t>
        </w:r>
      </w:hyperlink>
      <w:r w:rsidRPr="009D484C">
        <w:rPr>
          <w:rFonts w:cs="Times New Roman"/>
          <w:sz w:val="24"/>
          <w:szCs w:val="24"/>
        </w:rPr>
        <w:t xml:space="preserve"> в сопроводительной технической записке.</w:t>
      </w:r>
    </w:p>
    <w:p w:rsidR="00F17F8A" w:rsidRDefault="00F17F8A" w:rsidP="00F17F8A">
      <w:pPr>
        <w:spacing w:before="100" w:beforeAutospacing="1" w:after="100" w:afterAutospacing="1" w:line="276" w:lineRule="auto"/>
        <w:ind w:firstLine="0"/>
        <w:rPr>
          <w:rFonts w:cs="Times New Roman"/>
          <w:sz w:val="24"/>
          <w:szCs w:val="24"/>
        </w:rPr>
      </w:pPr>
    </w:p>
    <w:p w:rsidR="00F17F8A" w:rsidRPr="00DD2847" w:rsidRDefault="00F17F8A" w:rsidP="00F17F8A">
      <w:pPr>
        <w:spacing w:before="100" w:beforeAutospacing="1" w:after="100" w:afterAutospacing="1" w:line="276" w:lineRule="auto"/>
        <w:ind w:firstLine="0"/>
        <w:rPr>
          <w:rFonts w:cs="Times New Roman"/>
          <w:b/>
          <w:sz w:val="24"/>
          <w:szCs w:val="24"/>
        </w:rPr>
      </w:pPr>
      <w:r w:rsidRPr="00DD2847">
        <w:rPr>
          <w:rFonts w:cs="Times New Roman"/>
          <w:b/>
          <w:sz w:val="24"/>
          <w:szCs w:val="24"/>
        </w:rPr>
        <w:t>Гарантия качества:</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Информация, предоставленная правительствами стран в рамках опроса, посвященного самоотчету, имеет триангуляцию с участием ключевых заинтересованных сторон, включая страновые группы ООН и агентства ООН, такие как ВОЗ, ЮНФПА и ООН - Женщины, которые также собирают конкретную страновую информацию о законодательных и нормативных изменениях по вопросам, относящимся к их соответствующим мандатам. Заключительные замечания и рекомендации правозащитных механизмов ООН (договорные органы, специальные процедуры и универсальный периодический обзор) также предоставляют ценную информацию о пробелах и противоречивых законах и нормативных актах.</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Для каждой страны национальный комитет по проверке рассматривает и проверяет все данные, полученные в ходе опроса, проведенного самостоятельно. В состав комитета по проверке входят представители:</w:t>
      </w:r>
    </w:p>
    <w:p w:rsidR="00F17F8A" w:rsidRPr="00DD2847" w:rsidRDefault="00F17F8A" w:rsidP="00F17F8A">
      <w:pPr>
        <w:pStyle w:val="ListParagraph"/>
        <w:numPr>
          <w:ilvl w:val="0"/>
          <w:numId w:val="4"/>
        </w:numPr>
        <w:spacing w:before="100" w:beforeAutospacing="1" w:after="100" w:afterAutospacing="1" w:line="276" w:lineRule="auto"/>
        <w:rPr>
          <w:rFonts w:cs="Times New Roman"/>
          <w:sz w:val="24"/>
          <w:szCs w:val="24"/>
        </w:rPr>
      </w:pPr>
      <w:r w:rsidRPr="00DD2847">
        <w:rPr>
          <w:rFonts w:cs="Times New Roman"/>
          <w:sz w:val="24"/>
          <w:szCs w:val="24"/>
        </w:rPr>
        <w:t>страновые группы ООН, включая такие учреждения, как ВОЗ, ЮНФПА и ООН. Эти агентства также собирают информацию по конкретным странам о правовых и нормативных изменениях по вопросам, относящимся к их соответствующим мандатам</w:t>
      </w:r>
    </w:p>
    <w:p w:rsidR="00F17F8A" w:rsidRPr="00DD2847" w:rsidRDefault="00F17F8A" w:rsidP="00F17F8A">
      <w:pPr>
        <w:pStyle w:val="ListParagraph"/>
        <w:numPr>
          <w:ilvl w:val="0"/>
          <w:numId w:val="4"/>
        </w:numPr>
        <w:spacing w:before="100" w:beforeAutospacing="1" w:after="100" w:afterAutospacing="1" w:line="276" w:lineRule="auto"/>
        <w:rPr>
          <w:rFonts w:cs="Times New Roman"/>
          <w:sz w:val="24"/>
          <w:szCs w:val="24"/>
        </w:rPr>
      </w:pPr>
      <w:r w:rsidRPr="00DD2847">
        <w:rPr>
          <w:rFonts w:cs="Times New Roman"/>
          <w:sz w:val="24"/>
          <w:szCs w:val="24"/>
        </w:rPr>
        <w:t>Группы гражданского общества, которые лучше всего располагают доступом к информации о правовых рамках, гарантирующих женщинам и мужчинам доступ к услугам в области сексуального и репродуктивного здоровья, информации и услуг, а также иерархию соответствующих законов и правил</w:t>
      </w:r>
    </w:p>
    <w:p w:rsidR="00F17F8A" w:rsidRPr="00DD2847" w:rsidRDefault="00F17F8A" w:rsidP="00F17F8A">
      <w:pPr>
        <w:pStyle w:val="ListParagraph"/>
        <w:numPr>
          <w:ilvl w:val="0"/>
          <w:numId w:val="4"/>
        </w:numPr>
        <w:spacing w:before="100" w:beforeAutospacing="1" w:after="100" w:afterAutospacing="1" w:line="276" w:lineRule="auto"/>
        <w:rPr>
          <w:rFonts w:cs="Times New Roman"/>
          <w:sz w:val="24"/>
          <w:szCs w:val="24"/>
        </w:rPr>
      </w:pPr>
      <w:r w:rsidRPr="00DD2847">
        <w:rPr>
          <w:rFonts w:cs="Times New Roman"/>
          <w:sz w:val="24"/>
          <w:szCs w:val="24"/>
        </w:rPr>
        <w:t>Национальные статистические управления</w:t>
      </w:r>
    </w:p>
    <w:p w:rsidR="00F17F8A" w:rsidRPr="00DD2847" w:rsidRDefault="00F17F8A" w:rsidP="00F17F8A">
      <w:pPr>
        <w:pStyle w:val="ListParagraph"/>
        <w:numPr>
          <w:ilvl w:val="0"/>
          <w:numId w:val="4"/>
        </w:numPr>
        <w:spacing w:before="100" w:beforeAutospacing="1" w:after="100" w:afterAutospacing="1" w:line="276" w:lineRule="auto"/>
        <w:rPr>
          <w:rFonts w:cs="Times New Roman"/>
          <w:sz w:val="24"/>
          <w:szCs w:val="24"/>
        </w:rPr>
      </w:pPr>
      <w:r w:rsidRPr="00DD2847">
        <w:rPr>
          <w:rFonts w:cs="Times New Roman"/>
          <w:sz w:val="24"/>
          <w:szCs w:val="24"/>
        </w:rPr>
        <w:t>Другие правительственные партнеры</w:t>
      </w:r>
    </w:p>
    <w:p w:rsidR="00F17F8A" w:rsidRPr="00B27A0B" w:rsidRDefault="00F17F8A" w:rsidP="00F17F8A">
      <w:pPr>
        <w:spacing w:before="100" w:beforeAutospacing="1" w:after="100" w:afterAutospacing="1"/>
        <w:ind w:firstLine="0"/>
        <w:rPr>
          <w:rFonts w:cs="Times New Roman"/>
          <w:b/>
          <w:color w:val="0070C0"/>
          <w:sz w:val="24"/>
          <w:szCs w:val="24"/>
        </w:rPr>
      </w:pPr>
    </w:p>
    <w:p w:rsidR="00F17F8A" w:rsidRPr="002A0FB4" w:rsidRDefault="00F17F8A" w:rsidP="00F17F8A">
      <w:pPr>
        <w:pBdr>
          <w:bottom w:val="single" w:sz="12" w:space="4" w:color="DDDDDD"/>
        </w:pBdr>
        <w:spacing w:before="100" w:beforeAutospacing="1" w:after="100" w:afterAutospacing="1"/>
        <w:ind w:firstLine="0"/>
        <w:rPr>
          <w:rFonts w:cs="Times New Roman"/>
          <w:color w:val="0070C0"/>
          <w:sz w:val="24"/>
          <w:szCs w:val="24"/>
        </w:rPr>
      </w:pPr>
      <w:r>
        <w:rPr>
          <w:rFonts w:cs="Times New Roman"/>
          <w:b/>
          <w:color w:val="0070C0"/>
          <w:sz w:val="24"/>
          <w:szCs w:val="24"/>
        </w:rPr>
        <w:lastRenderedPageBreak/>
        <w:t>Источники данных</w:t>
      </w:r>
      <w:r w:rsidRPr="00A218FA">
        <w:rPr>
          <w:rFonts w:cs="Times New Roman"/>
          <w:b/>
          <w:color w:val="0070C0"/>
          <w:sz w:val="24"/>
          <w:szCs w:val="24"/>
        </w:rPr>
        <w:t xml:space="preserve"> </w:t>
      </w:r>
    </w:p>
    <w:p w:rsidR="00F17F8A" w:rsidRDefault="00F17F8A" w:rsidP="00F17F8A">
      <w:pPr>
        <w:spacing w:before="100" w:beforeAutospacing="1" w:after="100" w:afterAutospacing="1" w:line="276" w:lineRule="auto"/>
        <w:ind w:firstLine="0"/>
        <w:rPr>
          <w:rFonts w:cs="Times New Roman"/>
          <w:sz w:val="24"/>
          <w:szCs w:val="24"/>
        </w:rPr>
      </w:pP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Данные собираются с помощью электронного общенационального опроса, с помощью которого осуществляется электронное администрирование, которое было разработано для измерения правовой и нормативной среды по широкому спектру параметров сексуального и репродуктивного здоровья, информации и образования, включая все параметры, связанные с показателем 5.6.2. Инструмент опроса был разработан для предварительного кодирования ответов, где это применимо, и для обеспечения возможности открытого ответа для добавления описаний и объяснений. Он был разработан с использованием шаблонов пропуска, чтобы избежать избыточности.</w:t>
      </w:r>
    </w:p>
    <w:p w:rsidR="00F17F8A" w:rsidRDefault="00F17F8A" w:rsidP="00F17F8A">
      <w:pPr>
        <w:spacing w:before="100" w:beforeAutospacing="1" w:after="100" w:afterAutospacing="1" w:line="276" w:lineRule="auto"/>
        <w:ind w:firstLine="0"/>
        <w:rPr>
          <w:rFonts w:cs="Times New Roman"/>
          <w:b/>
          <w:sz w:val="24"/>
          <w:szCs w:val="24"/>
        </w:rPr>
      </w:pPr>
    </w:p>
    <w:p w:rsidR="00F17F8A" w:rsidRPr="00DD2847" w:rsidRDefault="00F17F8A" w:rsidP="00F17F8A">
      <w:pPr>
        <w:spacing w:before="100" w:beforeAutospacing="1" w:after="100" w:afterAutospacing="1" w:line="276" w:lineRule="auto"/>
        <w:ind w:firstLine="0"/>
        <w:rPr>
          <w:rFonts w:cs="Times New Roman"/>
          <w:b/>
          <w:sz w:val="24"/>
          <w:szCs w:val="24"/>
        </w:rPr>
      </w:pPr>
      <w:r w:rsidRPr="00DD2847">
        <w:rPr>
          <w:rFonts w:cs="Times New Roman"/>
          <w:b/>
          <w:sz w:val="24"/>
          <w:szCs w:val="24"/>
        </w:rPr>
        <w:t>Процесс сбора:</w:t>
      </w:r>
    </w:p>
    <w:p w:rsidR="00F17F8A" w:rsidRPr="002A0FB4"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Предусматривается, что ЮНФПА назначит координатора из странового отделения ЮНФПА (или регионального отделения в случае стран без странового отделения) для координации завершения обследования путем установления связи с соответствующими министерствами, ведомствами и учреждениями правительства. После завершения обследования координационный центр ЮНФПА будет координировать национальное совещание по проверке, в котором представители страновых групп ООН, включая такие учреждения, как ВОЗ, ЮНФПА и ООН, группы гражданского общества, национальные статистические управления и правительственные партнеры, будут рассматривать и утверждать ответы опроса. ЮНФПА также изучает возможности для дальнейшего сотрудничества с Отделом народонаселения ООН (ДЭСВ) для управления инструментом обследования в рамках расследования ООН среди правительств по вопросам народонаселения и развития.</w:t>
      </w:r>
    </w:p>
    <w:p w:rsidR="00F17F8A" w:rsidRDefault="00F17F8A" w:rsidP="00F17F8A">
      <w:pPr>
        <w:pBdr>
          <w:bottom w:val="single" w:sz="12" w:space="4" w:color="DDDDDD"/>
        </w:pBdr>
        <w:spacing w:before="100" w:beforeAutospacing="1" w:after="100" w:afterAutospacing="1" w:line="276" w:lineRule="auto"/>
        <w:ind w:firstLine="0"/>
        <w:rPr>
          <w:rFonts w:cs="Times New Roman"/>
          <w:b/>
          <w:color w:val="0070C0"/>
          <w:sz w:val="24"/>
          <w:szCs w:val="24"/>
        </w:rPr>
      </w:pPr>
    </w:p>
    <w:p w:rsidR="00F17F8A" w:rsidRPr="00B27A0B" w:rsidRDefault="00F17F8A" w:rsidP="00F17F8A">
      <w:pPr>
        <w:pBdr>
          <w:bottom w:val="single" w:sz="12" w:space="4" w:color="DDDDDD"/>
        </w:pBdr>
        <w:spacing w:before="100" w:beforeAutospacing="1" w:after="100" w:afterAutospacing="1" w:line="276" w:lineRule="auto"/>
        <w:ind w:firstLine="0"/>
        <w:rPr>
          <w:rFonts w:cs="Times New Roman"/>
          <w:color w:val="0070C0"/>
          <w:sz w:val="24"/>
          <w:szCs w:val="24"/>
        </w:rPr>
      </w:pPr>
      <w:r>
        <w:rPr>
          <w:rFonts w:cs="Times New Roman"/>
          <w:b/>
          <w:color w:val="0070C0"/>
          <w:sz w:val="24"/>
          <w:szCs w:val="24"/>
        </w:rPr>
        <w:t>Доступность данных</w:t>
      </w:r>
    </w:p>
    <w:p w:rsidR="00F17F8A" w:rsidRPr="00DD2847" w:rsidRDefault="00F17F8A" w:rsidP="00F17F8A">
      <w:pPr>
        <w:spacing w:before="100" w:beforeAutospacing="1" w:after="100" w:afterAutospacing="1" w:line="276" w:lineRule="auto"/>
        <w:ind w:firstLine="0"/>
        <w:rPr>
          <w:rFonts w:cs="Times New Roman"/>
          <w:b/>
          <w:color w:val="0070C0"/>
          <w:sz w:val="24"/>
          <w:szCs w:val="24"/>
        </w:rPr>
      </w:pP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Показатель 5.6.2 является новым показателем. Первоначальное администрирование инструмента обследования 5.6.2 будет использоваться для установления исходных данных.</w:t>
      </w:r>
    </w:p>
    <w:p w:rsidR="00F17F8A" w:rsidRDefault="00F17F8A" w:rsidP="00F17F8A">
      <w:pPr>
        <w:spacing w:before="100" w:beforeAutospacing="1" w:after="100" w:afterAutospacing="1" w:line="276" w:lineRule="auto"/>
        <w:ind w:firstLine="0"/>
        <w:rPr>
          <w:rFonts w:cs="Times New Roman"/>
          <w:b/>
          <w:sz w:val="24"/>
          <w:szCs w:val="24"/>
        </w:rPr>
      </w:pPr>
    </w:p>
    <w:p w:rsidR="00F17F8A" w:rsidRPr="00DD2847" w:rsidRDefault="00F17F8A" w:rsidP="00F17F8A">
      <w:pPr>
        <w:spacing w:before="100" w:beforeAutospacing="1" w:after="100" w:afterAutospacing="1" w:line="276" w:lineRule="auto"/>
        <w:ind w:firstLine="0"/>
        <w:rPr>
          <w:rFonts w:cs="Times New Roman"/>
          <w:b/>
          <w:sz w:val="24"/>
          <w:szCs w:val="24"/>
        </w:rPr>
      </w:pPr>
      <w:r w:rsidRPr="00DD2847">
        <w:rPr>
          <w:rFonts w:cs="Times New Roman"/>
          <w:b/>
          <w:sz w:val="24"/>
          <w:szCs w:val="24"/>
        </w:rPr>
        <w:t>Временные ряды:</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Не применимо</w:t>
      </w:r>
    </w:p>
    <w:p w:rsidR="00F17F8A" w:rsidRDefault="00F17F8A" w:rsidP="00F17F8A">
      <w:pPr>
        <w:spacing w:before="100" w:beforeAutospacing="1" w:after="100" w:afterAutospacing="1" w:line="276" w:lineRule="auto"/>
        <w:ind w:firstLine="0"/>
        <w:rPr>
          <w:rFonts w:cs="Times New Roman"/>
          <w:b/>
          <w:sz w:val="24"/>
          <w:szCs w:val="24"/>
        </w:rPr>
      </w:pPr>
    </w:p>
    <w:p w:rsidR="00F17F8A" w:rsidRPr="00B27A0B" w:rsidRDefault="00F17F8A" w:rsidP="00F17F8A">
      <w:pPr>
        <w:pBdr>
          <w:bottom w:val="single" w:sz="12" w:space="4" w:color="DDDDDD"/>
        </w:pBdr>
        <w:spacing w:before="100" w:beforeAutospacing="1" w:after="100" w:afterAutospacing="1" w:line="276" w:lineRule="auto"/>
        <w:ind w:firstLine="0"/>
        <w:rPr>
          <w:rFonts w:cs="Times New Roman"/>
          <w:color w:val="0070C0"/>
          <w:sz w:val="24"/>
          <w:szCs w:val="24"/>
        </w:rPr>
      </w:pPr>
      <w:r>
        <w:rPr>
          <w:rFonts w:cs="Times New Roman"/>
          <w:b/>
          <w:color w:val="0070C0"/>
          <w:sz w:val="24"/>
          <w:szCs w:val="24"/>
        </w:rPr>
        <w:t>Календарь</w:t>
      </w:r>
      <w:r w:rsidRPr="00A218FA">
        <w:rPr>
          <w:rFonts w:cs="Times New Roman"/>
          <w:b/>
          <w:color w:val="0070C0"/>
          <w:sz w:val="24"/>
          <w:szCs w:val="24"/>
        </w:rPr>
        <w:t xml:space="preserve"> </w:t>
      </w:r>
    </w:p>
    <w:p w:rsidR="00F17F8A" w:rsidRPr="00B27A0B" w:rsidRDefault="00F17F8A" w:rsidP="00F17F8A">
      <w:pPr>
        <w:spacing w:before="100" w:beforeAutospacing="1" w:after="100" w:afterAutospacing="1"/>
        <w:ind w:firstLine="0"/>
        <w:rPr>
          <w:rFonts w:cs="Times New Roman"/>
          <w:b/>
          <w:color w:val="0070C0"/>
          <w:sz w:val="24"/>
          <w:szCs w:val="24"/>
        </w:rPr>
      </w:pPr>
    </w:p>
    <w:p w:rsidR="00F17F8A" w:rsidRPr="00DD2847" w:rsidRDefault="00F17F8A" w:rsidP="00F17F8A">
      <w:pPr>
        <w:spacing w:before="100" w:beforeAutospacing="1" w:after="100" w:afterAutospacing="1" w:line="276" w:lineRule="auto"/>
        <w:ind w:firstLine="0"/>
        <w:rPr>
          <w:rFonts w:cs="Times New Roman"/>
          <w:b/>
          <w:sz w:val="24"/>
          <w:szCs w:val="24"/>
        </w:rPr>
      </w:pPr>
      <w:r w:rsidRPr="00DD2847">
        <w:rPr>
          <w:rFonts w:cs="Times New Roman"/>
          <w:b/>
          <w:sz w:val="24"/>
          <w:szCs w:val="24"/>
        </w:rPr>
        <w:t>Сбор данных:</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Сбор базовых данных запланирован на 2019 год. Сбор данных будет планироваться каждые 2-3 года.</w:t>
      </w:r>
    </w:p>
    <w:p w:rsidR="00F17F8A" w:rsidRDefault="00F17F8A" w:rsidP="00F17F8A">
      <w:pPr>
        <w:spacing w:before="100" w:beforeAutospacing="1" w:after="100" w:afterAutospacing="1" w:line="276" w:lineRule="auto"/>
        <w:ind w:firstLine="0"/>
        <w:rPr>
          <w:rFonts w:cs="Times New Roman"/>
          <w:b/>
          <w:sz w:val="24"/>
          <w:szCs w:val="24"/>
        </w:rPr>
      </w:pPr>
    </w:p>
    <w:p w:rsidR="00F17F8A" w:rsidRPr="00DD2847" w:rsidRDefault="00F17F8A" w:rsidP="00F17F8A">
      <w:pPr>
        <w:spacing w:before="100" w:beforeAutospacing="1" w:after="100" w:afterAutospacing="1" w:line="276" w:lineRule="auto"/>
        <w:ind w:firstLine="0"/>
        <w:rPr>
          <w:rFonts w:cs="Times New Roman"/>
          <w:b/>
          <w:sz w:val="24"/>
          <w:szCs w:val="24"/>
        </w:rPr>
      </w:pPr>
      <w:r w:rsidRPr="00DD2847">
        <w:rPr>
          <w:rFonts w:cs="Times New Roman"/>
          <w:b/>
          <w:sz w:val="24"/>
          <w:szCs w:val="24"/>
        </w:rPr>
        <w:t>Выпуск данных:</w:t>
      </w: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2019</w:t>
      </w:r>
    </w:p>
    <w:p w:rsidR="00F17F8A" w:rsidRDefault="00F17F8A" w:rsidP="00F17F8A">
      <w:pPr>
        <w:spacing w:before="100" w:beforeAutospacing="1" w:after="100" w:afterAutospacing="1" w:line="276" w:lineRule="auto"/>
        <w:ind w:firstLine="0"/>
        <w:rPr>
          <w:rFonts w:cs="Times New Roman"/>
          <w:b/>
          <w:sz w:val="24"/>
          <w:szCs w:val="24"/>
        </w:rPr>
      </w:pPr>
    </w:p>
    <w:p w:rsidR="00F17F8A" w:rsidRPr="00B27A0B" w:rsidRDefault="00F17F8A" w:rsidP="00F17F8A">
      <w:pPr>
        <w:pBdr>
          <w:bottom w:val="single" w:sz="12" w:space="4" w:color="DDDDDD"/>
        </w:pBdr>
        <w:spacing w:before="100" w:beforeAutospacing="1" w:after="100" w:afterAutospacing="1" w:line="276" w:lineRule="auto"/>
        <w:ind w:firstLine="0"/>
        <w:rPr>
          <w:rFonts w:cs="Times New Roman"/>
          <w:color w:val="0070C0"/>
          <w:sz w:val="24"/>
          <w:szCs w:val="24"/>
        </w:rPr>
      </w:pPr>
      <w:r>
        <w:rPr>
          <w:rFonts w:cs="Times New Roman"/>
          <w:b/>
          <w:color w:val="0070C0"/>
          <w:sz w:val="24"/>
          <w:szCs w:val="24"/>
        </w:rPr>
        <w:t>Поставщики данных</w:t>
      </w:r>
      <w:r w:rsidRPr="00A218FA">
        <w:rPr>
          <w:rFonts w:cs="Times New Roman"/>
          <w:b/>
          <w:color w:val="0070C0"/>
          <w:sz w:val="24"/>
          <w:szCs w:val="24"/>
        </w:rPr>
        <w:t xml:space="preserve"> </w:t>
      </w:r>
    </w:p>
    <w:p w:rsidR="00F17F8A" w:rsidRPr="00B27A0B" w:rsidRDefault="00F17F8A" w:rsidP="00F17F8A">
      <w:pPr>
        <w:spacing w:before="100" w:beforeAutospacing="1" w:after="100" w:afterAutospacing="1"/>
        <w:ind w:firstLine="0"/>
        <w:rPr>
          <w:rFonts w:cs="Times New Roman"/>
          <w:b/>
          <w:color w:val="0070C0"/>
          <w:sz w:val="24"/>
          <w:szCs w:val="24"/>
        </w:rPr>
      </w:pP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Данные будут предоставлены соответствующими министерствами, ведомствами и агентствами.</w:t>
      </w:r>
    </w:p>
    <w:p w:rsidR="00F17F8A" w:rsidRDefault="00F17F8A" w:rsidP="00F17F8A">
      <w:pPr>
        <w:spacing w:before="100" w:beforeAutospacing="1" w:after="100" w:afterAutospacing="1" w:line="276" w:lineRule="auto"/>
        <w:ind w:firstLine="0"/>
        <w:rPr>
          <w:rFonts w:cs="Times New Roman"/>
          <w:b/>
          <w:sz w:val="24"/>
          <w:szCs w:val="24"/>
        </w:rPr>
      </w:pPr>
    </w:p>
    <w:p w:rsidR="00F17F8A" w:rsidRPr="00B27A0B" w:rsidRDefault="00F17F8A" w:rsidP="00F17F8A">
      <w:pPr>
        <w:pBdr>
          <w:bottom w:val="single" w:sz="12" w:space="4" w:color="DDDDDD"/>
        </w:pBdr>
        <w:spacing w:before="100" w:beforeAutospacing="1" w:after="100" w:afterAutospacing="1" w:line="276" w:lineRule="auto"/>
        <w:ind w:firstLine="0"/>
        <w:rPr>
          <w:rFonts w:cs="Times New Roman"/>
          <w:color w:val="0070C0"/>
          <w:sz w:val="24"/>
          <w:szCs w:val="24"/>
        </w:rPr>
      </w:pPr>
      <w:r>
        <w:rPr>
          <w:rFonts w:cs="Times New Roman"/>
          <w:b/>
          <w:color w:val="0070C0"/>
          <w:sz w:val="24"/>
          <w:szCs w:val="24"/>
        </w:rPr>
        <w:t>Составители данных</w:t>
      </w:r>
    </w:p>
    <w:p w:rsidR="00F17F8A" w:rsidRPr="00B27A0B" w:rsidRDefault="00F17F8A" w:rsidP="00F17F8A">
      <w:pPr>
        <w:spacing w:before="100" w:beforeAutospacing="1" w:after="100" w:afterAutospacing="1"/>
        <w:ind w:firstLine="0"/>
        <w:rPr>
          <w:rFonts w:cs="Times New Roman"/>
          <w:b/>
          <w:color w:val="0070C0"/>
          <w:sz w:val="24"/>
          <w:szCs w:val="24"/>
        </w:rPr>
      </w:pPr>
    </w:p>
    <w:p w:rsidR="00F17F8A" w:rsidRPr="009D484C" w:rsidRDefault="00F17F8A" w:rsidP="00F17F8A">
      <w:pPr>
        <w:spacing w:before="100" w:beforeAutospacing="1" w:after="100" w:afterAutospacing="1" w:line="276" w:lineRule="auto"/>
        <w:ind w:firstLine="0"/>
        <w:rPr>
          <w:rFonts w:cs="Times New Roman"/>
          <w:sz w:val="24"/>
          <w:szCs w:val="24"/>
        </w:rPr>
      </w:pPr>
      <w:r w:rsidRPr="009D484C">
        <w:rPr>
          <w:rFonts w:cs="Times New Roman"/>
          <w:sz w:val="24"/>
          <w:szCs w:val="24"/>
        </w:rPr>
        <w:t>ЮНФПА, при содействии международных агентств-партнеров.</w:t>
      </w:r>
    </w:p>
    <w:p w:rsidR="00F17F8A" w:rsidRDefault="00F17F8A" w:rsidP="00F17F8A">
      <w:pPr>
        <w:spacing w:before="100" w:beforeAutospacing="1" w:after="100" w:afterAutospacing="1" w:line="276" w:lineRule="auto"/>
        <w:ind w:firstLine="0"/>
        <w:rPr>
          <w:rFonts w:cs="Times New Roman"/>
          <w:b/>
          <w:sz w:val="24"/>
          <w:szCs w:val="24"/>
        </w:rPr>
      </w:pPr>
    </w:p>
    <w:p w:rsidR="00F17F8A" w:rsidRPr="00B27A0B" w:rsidRDefault="00F17F8A" w:rsidP="00F17F8A">
      <w:pPr>
        <w:pBdr>
          <w:bottom w:val="single" w:sz="12" w:space="4" w:color="DDDDDD"/>
        </w:pBdr>
        <w:spacing w:before="100" w:beforeAutospacing="1" w:after="100" w:afterAutospacing="1" w:line="276" w:lineRule="auto"/>
        <w:ind w:firstLine="0"/>
        <w:rPr>
          <w:rFonts w:cs="Times New Roman"/>
          <w:color w:val="0070C0"/>
          <w:sz w:val="24"/>
          <w:szCs w:val="24"/>
        </w:rPr>
      </w:pPr>
      <w:r>
        <w:rPr>
          <w:rFonts w:cs="Times New Roman"/>
          <w:b/>
          <w:color w:val="0070C0"/>
          <w:sz w:val="24"/>
          <w:szCs w:val="24"/>
        </w:rPr>
        <w:t xml:space="preserve">Ссылки </w:t>
      </w:r>
    </w:p>
    <w:p w:rsidR="00F17F8A" w:rsidRPr="00B27A0B" w:rsidRDefault="00F17F8A" w:rsidP="00F17F8A">
      <w:pPr>
        <w:spacing w:before="100" w:beforeAutospacing="1" w:after="100" w:afterAutospacing="1"/>
        <w:ind w:firstLine="0"/>
        <w:rPr>
          <w:rFonts w:cs="Times New Roman"/>
          <w:b/>
          <w:color w:val="0070C0"/>
          <w:sz w:val="24"/>
          <w:szCs w:val="24"/>
        </w:rPr>
      </w:pPr>
    </w:p>
    <w:p w:rsidR="00F17F8A" w:rsidRPr="009D484C" w:rsidRDefault="00F17F8A" w:rsidP="00F17F8A">
      <w:pPr>
        <w:shd w:val="clear" w:color="auto" w:fill="FFFFFF"/>
        <w:spacing w:before="100" w:beforeAutospacing="1" w:after="100" w:afterAutospacing="1" w:line="276" w:lineRule="auto"/>
        <w:ind w:firstLine="0"/>
        <w:rPr>
          <w:rFonts w:eastAsia="Times New Roman" w:cs="Times New Roman"/>
          <w:bCs/>
          <w:color w:val="0000FF" w:themeColor="hyperlink"/>
          <w:sz w:val="24"/>
          <w:szCs w:val="24"/>
          <w:u w:val="single"/>
          <w:lang w:eastAsia="en-GB"/>
        </w:rPr>
      </w:pPr>
      <w:r w:rsidRPr="009D484C">
        <w:rPr>
          <w:rFonts w:eastAsia="Times New Roman" w:cs="Times New Roman"/>
          <w:bCs/>
          <w:sz w:val="24"/>
          <w:szCs w:val="24"/>
          <w:lang w:val="en-US" w:eastAsia="en-GB"/>
        </w:rPr>
        <w:fldChar w:fldCharType="begin"/>
      </w:r>
      <w:r w:rsidRPr="009D484C">
        <w:rPr>
          <w:rFonts w:eastAsia="Times New Roman" w:cs="Times New Roman"/>
          <w:bCs/>
          <w:sz w:val="24"/>
          <w:szCs w:val="24"/>
          <w:lang w:eastAsia="en-GB"/>
        </w:rPr>
        <w:instrText xml:space="preserve"> </w:instrText>
      </w:r>
      <w:r w:rsidRPr="009D484C">
        <w:rPr>
          <w:rFonts w:eastAsia="Times New Roman" w:cs="Times New Roman"/>
          <w:bCs/>
          <w:sz w:val="24"/>
          <w:szCs w:val="24"/>
          <w:lang w:val="en-US" w:eastAsia="en-GB"/>
        </w:rPr>
        <w:instrText>HYPERLINK</w:instrText>
      </w:r>
      <w:r w:rsidRPr="009D484C">
        <w:rPr>
          <w:rFonts w:eastAsia="Times New Roman" w:cs="Times New Roman"/>
          <w:bCs/>
          <w:sz w:val="24"/>
          <w:szCs w:val="24"/>
          <w:lang w:eastAsia="en-GB"/>
        </w:rPr>
        <w:instrText xml:space="preserve"> "</w:instrText>
      </w:r>
      <w:r w:rsidRPr="009D484C">
        <w:rPr>
          <w:rFonts w:eastAsia="Times New Roman" w:cs="Times New Roman"/>
          <w:bCs/>
          <w:sz w:val="24"/>
          <w:szCs w:val="24"/>
          <w:lang w:val="en-US" w:eastAsia="en-GB"/>
        </w:rPr>
        <w:instrText>https</w:instrText>
      </w:r>
      <w:r w:rsidRPr="009D484C">
        <w:rPr>
          <w:rFonts w:eastAsia="Times New Roman" w:cs="Times New Roman"/>
          <w:bCs/>
          <w:sz w:val="24"/>
          <w:szCs w:val="24"/>
          <w:lang w:eastAsia="en-GB"/>
        </w:rPr>
        <w:instrText>://</w:instrText>
      </w:r>
      <w:r w:rsidRPr="009D484C">
        <w:rPr>
          <w:rFonts w:eastAsia="Times New Roman" w:cs="Times New Roman"/>
          <w:bCs/>
          <w:sz w:val="24"/>
          <w:szCs w:val="24"/>
          <w:lang w:val="en-US" w:eastAsia="en-GB"/>
        </w:rPr>
        <w:instrText>drive</w:instrText>
      </w:r>
      <w:r w:rsidRPr="009D484C">
        <w:rPr>
          <w:rFonts w:eastAsia="Times New Roman" w:cs="Times New Roman"/>
          <w:bCs/>
          <w:sz w:val="24"/>
          <w:szCs w:val="24"/>
          <w:lang w:eastAsia="en-GB"/>
        </w:rPr>
        <w:instrText>.</w:instrText>
      </w:r>
      <w:r w:rsidRPr="009D484C">
        <w:rPr>
          <w:rFonts w:eastAsia="Times New Roman" w:cs="Times New Roman"/>
          <w:bCs/>
          <w:sz w:val="24"/>
          <w:szCs w:val="24"/>
          <w:lang w:val="en-US" w:eastAsia="en-GB"/>
        </w:rPr>
        <w:instrText>google</w:instrText>
      </w:r>
      <w:r w:rsidRPr="009D484C">
        <w:rPr>
          <w:rFonts w:eastAsia="Times New Roman" w:cs="Times New Roman"/>
          <w:bCs/>
          <w:sz w:val="24"/>
          <w:szCs w:val="24"/>
          <w:lang w:eastAsia="en-GB"/>
        </w:rPr>
        <w:instrText>.</w:instrText>
      </w:r>
      <w:r w:rsidRPr="009D484C">
        <w:rPr>
          <w:rFonts w:eastAsia="Times New Roman" w:cs="Times New Roman"/>
          <w:bCs/>
          <w:sz w:val="24"/>
          <w:szCs w:val="24"/>
          <w:lang w:val="en-US" w:eastAsia="en-GB"/>
        </w:rPr>
        <w:instrText>com</w:instrText>
      </w:r>
      <w:r w:rsidRPr="009D484C">
        <w:rPr>
          <w:rFonts w:eastAsia="Times New Roman" w:cs="Times New Roman"/>
          <w:bCs/>
          <w:sz w:val="24"/>
          <w:szCs w:val="24"/>
          <w:lang w:eastAsia="en-GB"/>
        </w:rPr>
        <w:instrText>/</w:instrText>
      </w:r>
      <w:r w:rsidRPr="009D484C">
        <w:rPr>
          <w:rFonts w:eastAsia="Times New Roman" w:cs="Times New Roman"/>
          <w:bCs/>
          <w:sz w:val="24"/>
          <w:szCs w:val="24"/>
          <w:lang w:val="en-US" w:eastAsia="en-GB"/>
        </w:rPr>
        <w:instrText>open</w:instrText>
      </w:r>
      <w:r w:rsidRPr="009D484C">
        <w:rPr>
          <w:rFonts w:eastAsia="Times New Roman" w:cs="Times New Roman"/>
          <w:bCs/>
          <w:sz w:val="24"/>
          <w:szCs w:val="24"/>
          <w:lang w:eastAsia="en-GB"/>
        </w:rPr>
        <w:instrText>?</w:instrText>
      </w:r>
      <w:r w:rsidRPr="009D484C">
        <w:rPr>
          <w:rFonts w:eastAsia="Times New Roman" w:cs="Times New Roman"/>
          <w:bCs/>
          <w:sz w:val="24"/>
          <w:szCs w:val="24"/>
          <w:lang w:val="en-US" w:eastAsia="en-GB"/>
        </w:rPr>
        <w:instrText>id</w:instrText>
      </w:r>
      <w:r w:rsidRPr="009D484C">
        <w:rPr>
          <w:rFonts w:eastAsia="Times New Roman" w:cs="Times New Roman"/>
          <w:bCs/>
          <w:sz w:val="24"/>
          <w:szCs w:val="24"/>
          <w:lang w:eastAsia="en-GB"/>
        </w:rPr>
        <w:instrText>=18</w:instrText>
      </w:r>
      <w:r w:rsidRPr="009D484C">
        <w:rPr>
          <w:rFonts w:eastAsia="Times New Roman" w:cs="Times New Roman"/>
          <w:bCs/>
          <w:sz w:val="24"/>
          <w:szCs w:val="24"/>
          <w:lang w:val="en-US" w:eastAsia="en-GB"/>
        </w:rPr>
        <w:instrText>ckC</w:instrText>
      </w:r>
      <w:r w:rsidRPr="009D484C">
        <w:rPr>
          <w:rFonts w:eastAsia="Times New Roman" w:cs="Times New Roman"/>
          <w:bCs/>
          <w:sz w:val="24"/>
          <w:szCs w:val="24"/>
          <w:lang w:eastAsia="en-GB"/>
        </w:rPr>
        <w:instrText>6</w:instrText>
      </w:r>
      <w:r w:rsidRPr="009D484C">
        <w:rPr>
          <w:rFonts w:eastAsia="Times New Roman" w:cs="Times New Roman"/>
          <w:bCs/>
          <w:sz w:val="24"/>
          <w:szCs w:val="24"/>
          <w:lang w:val="en-US" w:eastAsia="en-GB"/>
        </w:rPr>
        <w:instrText>IGJ</w:instrText>
      </w:r>
      <w:r w:rsidRPr="009D484C">
        <w:rPr>
          <w:rFonts w:eastAsia="Times New Roman" w:cs="Times New Roman"/>
          <w:bCs/>
          <w:sz w:val="24"/>
          <w:szCs w:val="24"/>
          <w:lang w:eastAsia="en-GB"/>
        </w:rPr>
        <w:instrText>92</w:instrText>
      </w:r>
      <w:r w:rsidRPr="009D484C">
        <w:rPr>
          <w:rFonts w:eastAsia="Times New Roman" w:cs="Times New Roman"/>
          <w:bCs/>
          <w:sz w:val="24"/>
          <w:szCs w:val="24"/>
          <w:lang w:val="en-US" w:eastAsia="en-GB"/>
        </w:rPr>
        <w:instrText>G</w:instrText>
      </w:r>
      <w:r w:rsidRPr="009D484C">
        <w:rPr>
          <w:rFonts w:eastAsia="Times New Roman" w:cs="Times New Roman"/>
          <w:bCs/>
          <w:sz w:val="24"/>
          <w:szCs w:val="24"/>
          <w:lang w:eastAsia="en-GB"/>
        </w:rPr>
        <w:instrText>-</w:instrText>
      </w:r>
      <w:r w:rsidRPr="009D484C">
        <w:rPr>
          <w:rFonts w:eastAsia="Times New Roman" w:cs="Times New Roman"/>
          <w:bCs/>
          <w:sz w:val="24"/>
          <w:szCs w:val="24"/>
          <w:lang w:val="en-US" w:eastAsia="en-GB"/>
        </w:rPr>
        <w:instrText>xY</w:instrText>
      </w:r>
      <w:r w:rsidRPr="009D484C">
        <w:rPr>
          <w:rFonts w:eastAsia="Times New Roman" w:cs="Times New Roman"/>
          <w:bCs/>
          <w:sz w:val="24"/>
          <w:szCs w:val="24"/>
          <w:lang w:eastAsia="en-GB"/>
        </w:rPr>
        <w:instrText>1</w:instrText>
      </w:r>
      <w:r w:rsidRPr="009D484C">
        <w:rPr>
          <w:rFonts w:eastAsia="Times New Roman" w:cs="Times New Roman"/>
          <w:bCs/>
          <w:sz w:val="24"/>
          <w:szCs w:val="24"/>
          <w:lang w:val="en-US" w:eastAsia="en-GB"/>
        </w:rPr>
        <w:instrText>yfnggQuZi</w:instrText>
      </w:r>
      <w:r w:rsidRPr="009D484C">
        <w:rPr>
          <w:rFonts w:eastAsia="Times New Roman" w:cs="Times New Roman"/>
          <w:bCs/>
          <w:sz w:val="24"/>
          <w:szCs w:val="24"/>
          <w:lang w:eastAsia="en-GB"/>
        </w:rPr>
        <w:instrText>3</w:instrText>
      </w:r>
      <w:r w:rsidRPr="009D484C">
        <w:rPr>
          <w:rFonts w:eastAsia="Times New Roman" w:cs="Times New Roman"/>
          <w:bCs/>
          <w:sz w:val="24"/>
          <w:szCs w:val="24"/>
          <w:lang w:val="en-US" w:eastAsia="en-GB"/>
        </w:rPr>
        <w:instrText>KAVQoRI</w:instrText>
      </w:r>
      <w:r w:rsidRPr="009D484C">
        <w:rPr>
          <w:rFonts w:eastAsia="Times New Roman" w:cs="Times New Roman"/>
          <w:bCs/>
          <w:sz w:val="24"/>
          <w:szCs w:val="24"/>
          <w:lang w:eastAsia="en-GB"/>
        </w:rPr>
        <w:instrText xml:space="preserve">" </w:instrText>
      </w:r>
      <w:r w:rsidRPr="009D484C">
        <w:rPr>
          <w:rFonts w:eastAsia="Times New Roman" w:cs="Times New Roman"/>
          <w:bCs/>
          <w:sz w:val="24"/>
          <w:szCs w:val="24"/>
          <w:lang w:val="en-US" w:eastAsia="en-GB"/>
        </w:rPr>
        <w:fldChar w:fldCharType="separate"/>
      </w:r>
      <w:r w:rsidRPr="009D484C">
        <w:rPr>
          <w:rFonts w:eastAsia="Times New Roman" w:cs="Times New Roman"/>
          <w:bCs/>
          <w:color w:val="0000FF" w:themeColor="hyperlink"/>
          <w:sz w:val="24"/>
          <w:szCs w:val="24"/>
          <w:u w:val="single"/>
          <w:lang w:eastAsia="en-GB"/>
        </w:rPr>
        <w:t>Инструмент обследования и техническая записка</w:t>
      </w:r>
    </w:p>
    <w:p w:rsidR="00F17F8A" w:rsidRPr="009D484C" w:rsidRDefault="00F17F8A" w:rsidP="00F17F8A">
      <w:pPr>
        <w:shd w:val="clear" w:color="auto" w:fill="FFFFFF"/>
        <w:spacing w:before="100" w:beforeAutospacing="1" w:after="100" w:afterAutospacing="1" w:line="276" w:lineRule="auto"/>
        <w:ind w:firstLine="0"/>
        <w:rPr>
          <w:rFonts w:eastAsia="Times New Roman" w:cs="Times New Roman"/>
          <w:bCs/>
          <w:color w:val="0000FF" w:themeColor="hyperlink"/>
          <w:sz w:val="24"/>
          <w:szCs w:val="24"/>
          <w:u w:val="single"/>
          <w:lang w:eastAsia="en-GB"/>
        </w:rPr>
      </w:pPr>
      <w:r w:rsidRPr="009D484C">
        <w:rPr>
          <w:rFonts w:eastAsia="Times New Roman" w:cs="Times New Roman"/>
          <w:bCs/>
          <w:sz w:val="24"/>
          <w:szCs w:val="24"/>
          <w:lang w:val="en-US" w:eastAsia="en-GB"/>
        </w:rPr>
        <w:fldChar w:fldCharType="end"/>
      </w:r>
      <w:r w:rsidRPr="009D484C">
        <w:rPr>
          <w:rFonts w:eastAsia="Times New Roman" w:cs="Times New Roman"/>
          <w:bCs/>
          <w:sz w:val="24"/>
          <w:szCs w:val="24"/>
          <w:lang w:val="en-US" w:eastAsia="en-GB"/>
        </w:rPr>
        <w:fldChar w:fldCharType="begin"/>
      </w:r>
      <w:r w:rsidRPr="009D484C">
        <w:rPr>
          <w:rFonts w:eastAsia="Times New Roman" w:cs="Times New Roman"/>
          <w:bCs/>
          <w:sz w:val="24"/>
          <w:szCs w:val="24"/>
          <w:lang w:eastAsia="en-GB"/>
        </w:rPr>
        <w:instrText xml:space="preserve"> </w:instrText>
      </w:r>
      <w:r w:rsidRPr="009D484C">
        <w:rPr>
          <w:rFonts w:eastAsia="Times New Roman" w:cs="Times New Roman"/>
          <w:bCs/>
          <w:sz w:val="24"/>
          <w:szCs w:val="24"/>
          <w:lang w:val="en-US" w:eastAsia="en-GB"/>
        </w:rPr>
        <w:instrText>HYPERLINK</w:instrText>
      </w:r>
      <w:r w:rsidRPr="009D484C">
        <w:rPr>
          <w:rFonts w:eastAsia="Times New Roman" w:cs="Times New Roman"/>
          <w:bCs/>
          <w:sz w:val="24"/>
          <w:szCs w:val="24"/>
          <w:lang w:eastAsia="en-GB"/>
        </w:rPr>
        <w:instrText xml:space="preserve"> "</w:instrText>
      </w:r>
      <w:r w:rsidRPr="009D484C">
        <w:rPr>
          <w:rFonts w:eastAsia="Times New Roman" w:cs="Times New Roman"/>
          <w:bCs/>
          <w:sz w:val="24"/>
          <w:szCs w:val="24"/>
          <w:lang w:val="en-US" w:eastAsia="en-GB"/>
        </w:rPr>
        <w:instrText>https</w:instrText>
      </w:r>
      <w:r w:rsidRPr="009D484C">
        <w:rPr>
          <w:rFonts w:eastAsia="Times New Roman" w:cs="Times New Roman"/>
          <w:bCs/>
          <w:sz w:val="24"/>
          <w:szCs w:val="24"/>
          <w:lang w:eastAsia="en-GB"/>
        </w:rPr>
        <w:instrText>://</w:instrText>
      </w:r>
      <w:r w:rsidRPr="009D484C">
        <w:rPr>
          <w:rFonts w:eastAsia="Times New Roman" w:cs="Times New Roman"/>
          <w:bCs/>
          <w:sz w:val="24"/>
          <w:szCs w:val="24"/>
          <w:lang w:val="en-US" w:eastAsia="en-GB"/>
        </w:rPr>
        <w:instrText>drive</w:instrText>
      </w:r>
      <w:r w:rsidRPr="009D484C">
        <w:rPr>
          <w:rFonts w:eastAsia="Times New Roman" w:cs="Times New Roman"/>
          <w:bCs/>
          <w:sz w:val="24"/>
          <w:szCs w:val="24"/>
          <w:lang w:eastAsia="en-GB"/>
        </w:rPr>
        <w:instrText>.</w:instrText>
      </w:r>
      <w:r w:rsidRPr="009D484C">
        <w:rPr>
          <w:rFonts w:eastAsia="Times New Roman" w:cs="Times New Roman"/>
          <w:bCs/>
          <w:sz w:val="24"/>
          <w:szCs w:val="24"/>
          <w:lang w:val="en-US" w:eastAsia="en-GB"/>
        </w:rPr>
        <w:instrText>google</w:instrText>
      </w:r>
      <w:r w:rsidRPr="009D484C">
        <w:rPr>
          <w:rFonts w:eastAsia="Times New Roman" w:cs="Times New Roman"/>
          <w:bCs/>
          <w:sz w:val="24"/>
          <w:szCs w:val="24"/>
          <w:lang w:eastAsia="en-GB"/>
        </w:rPr>
        <w:instrText>.</w:instrText>
      </w:r>
      <w:r w:rsidRPr="009D484C">
        <w:rPr>
          <w:rFonts w:eastAsia="Times New Roman" w:cs="Times New Roman"/>
          <w:bCs/>
          <w:sz w:val="24"/>
          <w:szCs w:val="24"/>
          <w:lang w:val="en-US" w:eastAsia="en-GB"/>
        </w:rPr>
        <w:instrText>com</w:instrText>
      </w:r>
      <w:r w:rsidRPr="009D484C">
        <w:rPr>
          <w:rFonts w:eastAsia="Times New Roman" w:cs="Times New Roman"/>
          <w:bCs/>
          <w:sz w:val="24"/>
          <w:szCs w:val="24"/>
          <w:lang w:eastAsia="en-GB"/>
        </w:rPr>
        <w:instrText>/</w:instrText>
      </w:r>
      <w:r w:rsidRPr="009D484C">
        <w:rPr>
          <w:rFonts w:eastAsia="Times New Roman" w:cs="Times New Roman"/>
          <w:bCs/>
          <w:sz w:val="24"/>
          <w:szCs w:val="24"/>
          <w:lang w:val="en-US" w:eastAsia="en-GB"/>
        </w:rPr>
        <w:instrText>open</w:instrText>
      </w:r>
      <w:r w:rsidRPr="009D484C">
        <w:rPr>
          <w:rFonts w:eastAsia="Times New Roman" w:cs="Times New Roman"/>
          <w:bCs/>
          <w:sz w:val="24"/>
          <w:szCs w:val="24"/>
          <w:lang w:eastAsia="en-GB"/>
        </w:rPr>
        <w:instrText>?</w:instrText>
      </w:r>
      <w:r w:rsidRPr="009D484C">
        <w:rPr>
          <w:rFonts w:eastAsia="Times New Roman" w:cs="Times New Roman"/>
          <w:bCs/>
          <w:sz w:val="24"/>
          <w:szCs w:val="24"/>
          <w:lang w:val="en-US" w:eastAsia="en-GB"/>
        </w:rPr>
        <w:instrText>id</w:instrText>
      </w:r>
      <w:r w:rsidRPr="009D484C">
        <w:rPr>
          <w:rFonts w:eastAsia="Times New Roman" w:cs="Times New Roman"/>
          <w:bCs/>
          <w:sz w:val="24"/>
          <w:szCs w:val="24"/>
          <w:lang w:eastAsia="en-GB"/>
        </w:rPr>
        <w:instrText>=15</w:instrText>
      </w:r>
      <w:r w:rsidRPr="009D484C">
        <w:rPr>
          <w:rFonts w:eastAsia="Times New Roman" w:cs="Times New Roman"/>
          <w:bCs/>
          <w:sz w:val="24"/>
          <w:szCs w:val="24"/>
          <w:lang w:val="en-US" w:eastAsia="en-GB"/>
        </w:rPr>
        <w:instrText>aUNkLrzuEmXS</w:instrText>
      </w:r>
      <w:r w:rsidRPr="009D484C">
        <w:rPr>
          <w:rFonts w:eastAsia="Times New Roman" w:cs="Times New Roman"/>
          <w:bCs/>
          <w:sz w:val="24"/>
          <w:szCs w:val="24"/>
          <w:lang w:eastAsia="en-GB"/>
        </w:rPr>
        <w:instrText>9</w:instrText>
      </w:r>
      <w:r w:rsidRPr="009D484C">
        <w:rPr>
          <w:rFonts w:eastAsia="Times New Roman" w:cs="Times New Roman"/>
          <w:bCs/>
          <w:sz w:val="24"/>
          <w:szCs w:val="24"/>
          <w:lang w:val="en-US" w:eastAsia="en-GB"/>
        </w:rPr>
        <w:instrText>K</w:instrText>
      </w:r>
      <w:r w:rsidRPr="009D484C">
        <w:rPr>
          <w:rFonts w:eastAsia="Times New Roman" w:cs="Times New Roman"/>
          <w:bCs/>
          <w:sz w:val="24"/>
          <w:szCs w:val="24"/>
          <w:lang w:eastAsia="en-GB"/>
        </w:rPr>
        <w:instrText>7</w:instrText>
      </w:r>
      <w:r w:rsidRPr="009D484C">
        <w:rPr>
          <w:rFonts w:eastAsia="Times New Roman" w:cs="Times New Roman"/>
          <w:bCs/>
          <w:sz w:val="24"/>
          <w:szCs w:val="24"/>
          <w:lang w:val="en-US" w:eastAsia="en-GB"/>
        </w:rPr>
        <w:instrText>rEPEn</w:instrText>
      </w:r>
      <w:r w:rsidRPr="009D484C">
        <w:rPr>
          <w:rFonts w:eastAsia="Times New Roman" w:cs="Times New Roman"/>
          <w:bCs/>
          <w:sz w:val="24"/>
          <w:szCs w:val="24"/>
          <w:lang w:eastAsia="en-GB"/>
        </w:rPr>
        <w:instrText>87</w:instrText>
      </w:r>
      <w:r w:rsidRPr="009D484C">
        <w:rPr>
          <w:rFonts w:eastAsia="Times New Roman" w:cs="Times New Roman"/>
          <w:bCs/>
          <w:sz w:val="24"/>
          <w:szCs w:val="24"/>
          <w:lang w:val="en-US" w:eastAsia="en-GB"/>
        </w:rPr>
        <w:instrText>lC</w:instrText>
      </w:r>
      <w:r w:rsidRPr="009D484C">
        <w:rPr>
          <w:rFonts w:eastAsia="Times New Roman" w:cs="Times New Roman"/>
          <w:bCs/>
          <w:sz w:val="24"/>
          <w:szCs w:val="24"/>
          <w:lang w:eastAsia="en-GB"/>
        </w:rPr>
        <w:instrText>3</w:instrText>
      </w:r>
      <w:r w:rsidRPr="009D484C">
        <w:rPr>
          <w:rFonts w:eastAsia="Times New Roman" w:cs="Times New Roman"/>
          <w:bCs/>
          <w:sz w:val="24"/>
          <w:szCs w:val="24"/>
          <w:lang w:val="en-US" w:eastAsia="en-GB"/>
        </w:rPr>
        <w:instrText>ENyEro</w:instrText>
      </w:r>
      <w:r w:rsidRPr="009D484C">
        <w:rPr>
          <w:rFonts w:eastAsia="Times New Roman" w:cs="Times New Roman"/>
          <w:bCs/>
          <w:sz w:val="24"/>
          <w:szCs w:val="24"/>
          <w:lang w:eastAsia="en-GB"/>
        </w:rPr>
        <w:instrText xml:space="preserve">" </w:instrText>
      </w:r>
      <w:r w:rsidRPr="009D484C">
        <w:rPr>
          <w:rFonts w:eastAsia="Times New Roman" w:cs="Times New Roman"/>
          <w:bCs/>
          <w:sz w:val="24"/>
          <w:szCs w:val="24"/>
          <w:lang w:val="en-US" w:eastAsia="en-GB"/>
        </w:rPr>
        <w:fldChar w:fldCharType="separate"/>
      </w:r>
      <w:r w:rsidRPr="009D484C">
        <w:rPr>
          <w:rFonts w:eastAsia="Times New Roman" w:cs="Times New Roman"/>
          <w:bCs/>
          <w:color w:val="0000FF" w:themeColor="hyperlink"/>
          <w:sz w:val="24"/>
          <w:szCs w:val="24"/>
          <w:u w:val="single"/>
          <w:lang w:eastAsia="en-GB"/>
        </w:rPr>
        <w:t>Опросный лист</w:t>
      </w:r>
    </w:p>
    <w:p w:rsidR="00F17F8A" w:rsidRDefault="00F17F8A" w:rsidP="00F17F8A">
      <w:pPr>
        <w:spacing w:before="100" w:beforeAutospacing="1" w:after="100" w:afterAutospacing="1" w:line="276" w:lineRule="auto"/>
        <w:ind w:firstLine="0"/>
        <w:rPr>
          <w:rFonts w:cs="Times New Roman"/>
          <w:b/>
          <w:sz w:val="24"/>
          <w:szCs w:val="24"/>
        </w:rPr>
      </w:pPr>
      <w:r w:rsidRPr="009D484C">
        <w:rPr>
          <w:rFonts w:eastAsia="Times New Roman" w:cs="Times New Roman"/>
          <w:bCs/>
          <w:sz w:val="24"/>
          <w:szCs w:val="24"/>
          <w:lang w:val="en-US" w:eastAsia="en-GB"/>
        </w:rPr>
        <w:fldChar w:fldCharType="end"/>
      </w:r>
    </w:p>
    <w:p w:rsidR="00F17F8A" w:rsidRPr="00B27A0B" w:rsidRDefault="00F17F8A" w:rsidP="00F17F8A">
      <w:pPr>
        <w:pBdr>
          <w:bottom w:val="single" w:sz="12" w:space="4" w:color="DDDDDD"/>
        </w:pBdr>
        <w:spacing w:before="100" w:beforeAutospacing="1" w:after="100" w:afterAutospacing="1" w:line="276" w:lineRule="auto"/>
        <w:ind w:firstLine="0"/>
        <w:rPr>
          <w:rFonts w:cs="Times New Roman"/>
          <w:color w:val="0070C0"/>
          <w:sz w:val="24"/>
          <w:szCs w:val="24"/>
        </w:rPr>
      </w:pPr>
      <w:r>
        <w:rPr>
          <w:rFonts w:cs="Times New Roman"/>
          <w:b/>
          <w:color w:val="0070C0"/>
          <w:sz w:val="24"/>
          <w:szCs w:val="24"/>
        </w:rPr>
        <w:lastRenderedPageBreak/>
        <w:t>Связанные показатели</w:t>
      </w:r>
      <w:r w:rsidRPr="00A218FA">
        <w:rPr>
          <w:rFonts w:cs="Times New Roman"/>
          <w:b/>
          <w:color w:val="0070C0"/>
          <w:sz w:val="24"/>
          <w:szCs w:val="24"/>
        </w:rPr>
        <w:t xml:space="preserve"> </w:t>
      </w:r>
    </w:p>
    <w:p w:rsidR="00F17F8A" w:rsidRPr="00DD2847" w:rsidRDefault="00F17F8A" w:rsidP="00F17F8A">
      <w:pPr>
        <w:spacing w:before="100" w:beforeAutospacing="1" w:after="100" w:afterAutospacing="1" w:line="276" w:lineRule="auto"/>
        <w:ind w:firstLine="0"/>
        <w:rPr>
          <w:rFonts w:eastAsia="Times New Roman" w:cs="Times New Roman"/>
          <w:b/>
          <w:bCs/>
          <w:color w:val="0070C0"/>
          <w:sz w:val="24"/>
          <w:szCs w:val="24"/>
          <w:lang w:eastAsia="en-GB"/>
        </w:rPr>
      </w:pPr>
    </w:p>
    <w:p w:rsidR="00F17F8A" w:rsidRPr="009D484C" w:rsidRDefault="00F17F8A" w:rsidP="00F17F8A">
      <w:pPr>
        <w:spacing w:before="100" w:beforeAutospacing="1" w:after="100" w:afterAutospacing="1" w:line="276" w:lineRule="auto"/>
        <w:ind w:firstLine="0"/>
        <w:rPr>
          <w:rFonts w:eastAsia="Times New Roman" w:cs="Times New Roman"/>
          <w:sz w:val="24"/>
          <w:szCs w:val="24"/>
        </w:rPr>
      </w:pPr>
      <w:r w:rsidRPr="00DD2847">
        <w:rPr>
          <w:rFonts w:eastAsia="Times New Roman" w:cs="Times New Roman"/>
          <w:b/>
          <w:sz w:val="24"/>
          <w:szCs w:val="24"/>
        </w:rPr>
        <w:t>Показатель 5.6.1</w:t>
      </w:r>
      <w:r>
        <w:rPr>
          <w:rFonts w:eastAsia="Times New Roman" w:cs="Times New Roman"/>
          <w:b/>
          <w:sz w:val="24"/>
          <w:szCs w:val="24"/>
        </w:rPr>
        <w:t>:</w:t>
      </w:r>
      <w:r w:rsidRPr="009D484C">
        <w:rPr>
          <w:rFonts w:eastAsia="Times New Roman" w:cs="Times New Roman"/>
          <w:sz w:val="24"/>
          <w:szCs w:val="24"/>
        </w:rPr>
        <w:t xml:space="preserve"> Доля женщин в возрасте от 15 до 49 лет, самостоятельно принимающих обдуманные решения о сексуальных отношениях, применении противозачаточных средств и обращении за услугами по охране репродуктивного здоровья</w:t>
      </w:r>
    </w:p>
    <w:p w:rsidR="00F17F8A" w:rsidRPr="009D484C" w:rsidRDefault="00F17F8A" w:rsidP="00F17F8A">
      <w:pPr>
        <w:spacing w:before="100" w:beforeAutospacing="1" w:after="100" w:afterAutospacing="1" w:line="276" w:lineRule="auto"/>
        <w:ind w:firstLine="0"/>
        <w:rPr>
          <w:rFonts w:cs="Times New Roman"/>
          <w:sz w:val="24"/>
          <w:szCs w:val="24"/>
        </w:rPr>
      </w:pPr>
      <w:r w:rsidRPr="00DD2847">
        <w:rPr>
          <w:rFonts w:cs="Times New Roman"/>
          <w:b/>
          <w:sz w:val="24"/>
          <w:szCs w:val="24"/>
        </w:rPr>
        <w:t>Задача 3.7</w:t>
      </w:r>
      <w:r>
        <w:rPr>
          <w:rFonts w:cs="Times New Roman"/>
          <w:b/>
          <w:sz w:val="24"/>
          <w:szCs w:val="24"/>
        </w:rPr>
        <w:t>:</w:t>
      </w:r>
      <w:r w:rsidRPr="009D484C">
        <w:rPr>
          <w:rFonts w:cs="Times New Roman"/>
          <w:sz w:val="24"/>
          <w:szCs w:val="24"/>
        </w:rPr>
        <w:t xml:space="preserve"> К 2030 году обеспечить всеобщий доступ к услугам по охране сексуального и репродуктивного здоровья, включая услуги по планированию семьи, информирование и просвещение, и учет вопросов охраны репродуктивного здоровья в национальных стратегиях и программах</w:t>
      </w:r>
    </w:p>
    <w:p w:rsidR="00F17F8A" w:rsidRPr="009D484C" w:rsidRDefault="00F17F8A" w:rsidP="00F17F8A">
      <w:pPr>
        <w:spacing w:before="100" w:beforeAutospacing="1" w:after="100" w:afterAutospacing="1" w:line="276" w:lineRule="auto"/>
        <w:ind w:firstLine="0"/>
        <w:rPr>
          <w:rFonts w:cs="Times New Roman"/>
          <w:sz w:val="24"/>
          <w:szCs w:val="24"/>
        </w:rPr>
      </w:pPr>
    </w:p>
    <w:p w:rsidR="002B6526" w:rsidRPr="00F17F8A" w:rsidRDefault="002B6526" w:rsidP="00F17F8A">
      <w:bookmarkStart w:id="0" w:name="_GoBack"/>
      <w:bookmarkEnd w:id="0"/>
    </w:p>
    <w:sectPr w:rsidR="002B6526" w:rsidRPr="00F17F8A">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D55" w:rsidRDefault="00225D55" w:rsidP="00230E90">
      <w:pPr>
        <w:spacing w:before="0"/>
      </w:pPr>
      <w:r>
        <w:separator/>
      </w:r>
    </w:p>
  </w:endnote>
  <w:endnote w:type="continuationSeparator" w:id="0">
    <w:p w:rsidR="00225D55" w:rsidRDefault="00225D55" w:rsidP="00230E9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708251"/>
      <w:docPartObj>
        <w:docPartGallery w:val="Page Numbers (Bottom of Page)"/>
        <w:docPartUnique/>
      </w:docPartObj>
    </w:sdtPr>
    <w:sdtEndPr/>
    <w:sdtContent>
      <w:p w:rsidR="00526564" w:rsidRDefault="00526564">
        <w:pPr>
          <w:pStyle w:val="Footer"/>
          <w:jc w:val="center"/>
        </w:pPr>
        <w:r>
          <w:fldChar w:fldCharType="begin"/>
        </w:r>
        <w:r>
          <w:instrText>PAGE   \* MERGEFORMAT</w:instrText>
        </w:r>
        <w:r>
          <w:fldChar w:fldCharType="separate"/>
        </w:r>
        <w:r w:rsidR="002A0FB4">
          <w:rPr>
            <w:noProof/>
          </w:rPr>
          <w:t>9</w:t>
        </w:r>
        <w:r>
          <w:fldChar w:fldCharType="end"/>
        </w:r>
      </w:p>
    </w:sdtContent>
  </w:sdt>
  <w:p w:rsidR="00D7271F" w:rsidRDefault="00D72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D55" w:rsidRDefault="00225D55" w:rsidP="00230E90">
      <w:pPr>
        <w:spacing w:before="0"/>
      </w:pPr>
      <w:r>
        <w:separator/>
      </w:r>
    </w:p>
  </w:footnote>
  <w:footnote w:type="continuationSeparator" w:id="0">
    <w:p w:rsidR="00225D55" w:rsidRDefault="00225D55" w:rsidP="00230E90">
      <w:pPr>
        <w:spacing w:before="0"/>
      </w:pPr>
      <w:r>
        <w:continuationSeparator/>
      </w:r>
    </w:p>
  </w:footnote>
  <w:footnote w:id="1">
    <w:p w:rsidR="00F17F8A" w:rsidRPr="009D484C" w:rsidRDefault="00F17F8A" w:rsidP="00F17F8A">
      <w:pPr>
        <w:pStyle w:val="FootnoteText"/>
        <w:ind w:firstLine="0"/>
        <w:jc w:val="left"/>
        <w:rPr>
          <w:rFonts w:cs="Times New Roman"/>
        </w:rPr>
      </w:pPr>
      <w:r w:rsidRPr="009D484C">
        <w:rPr>
          <w:rStyle w:val="FootnoteReference"/>
          <w:rFonts w:cs="Times New Roman"/>
        </w:rPr>
        <w:footnoteRef/>
      </w:r>
      <w:r w:rsidRPr="009D484C">
        <w:rPr>
          <w:rFonts w:cs="Times New Roman"/>
        </w:rPr>
        <w:t xml:space="preserve"> Организация Объединенных Наций (1994 год) Международная конференция по Народонаселению и развитию: программа действий. Каир, Египет.</w:t>
      </w:r>
    </w:p>
  </w:footnote>
  <w:footnote w:id="2">
    <w:p w:rsidR="00F17F8A" w:rsidRPr="009D484C" w:rsidRDefault="00F17F8A" w:rsidP="00F17F8A">
      <w:pPr>
        <w:pStyle w:val="FootnoteText"/>
        <w:ind w:firstLine="0"/>
        <w:jc w:val="left"/>
        <w:rPr>
          <w:rFonts w:cs="Times New Roman"/>
          <w:lang w:val="en-US"/>
        </w:rPr>
      </w:pPr>
      <w:r w:rsidRPr="009D484C">
        <w:rPr>
          <w:rStyle w:val="FootnoteReference"/>
          <w:rFonts w:cs="Times New Roman"/>
        </w:rPr>
        <w:footnoteRef/>
      </w:r>
      <w:r w:rsidRPr="009D484C">
        <w:rPr>
          <w:rFonts w:cs="Times New Roman"/>
        </w:rPr>
        <w:t xml:space="preserve"> Организация Объединенных Наций (1995 год) четвертая Всемирная конференция по положению женщин: программа действий. Пекин</w:t>
      </w:r>
      <w:r w:rsidRPr="009D484C">
        <w:rPr>
          <w:rFonts w:cs="Times New Roman"/>
          <w:lang w:val="en-US"/>
        </w:rPr>
        <w:t xml:space="preserve">, </w:t>
      </w:r>
      <w:r w:rsidRPr="009D484C">
        <w:rPr>
          <w:rFonts w:cs="Times New Roman"/>
        </w:rPr>
        <w:t>Китай</w:t>
      </w:r>
      <w:r w:rsidRPr="009D484C">
        <w:rPr>
          <w:rFonts w:cs="Times New Roman"/>
          <w:lang w:val="en-US"/>
        </w:rPr>
        <w:t>.</w:t>
      </w:r>
    </w:p>
  </w:footnote>
  <w:footnote w:id="3">
    <w:p w:rsidR="00F17F8A" w:rsidRPr="009D484C" w:rsidRDefault="00F17F8A" w:rsidP="00F17F8A">
      <w:pPr>
        <w:pStyle w:val="FootnoteText"/>
        <w:ind w:firstLine="0"/>
        <w:jc w:val="left"/>
        <w:rPr>
          <w:rFonts w:cs="Times New Roman"/>
          <w:lang w:val="en-US"/>
        </w:rPr>
      </w:pPr>
      <w:r w:rsidRPr="009D484C">
        <w:rPr>
          <w:rStyle w:val="FootnoteReference"/>
          <w:rFonts w:cs="Times New Roman"/>
        </w:rPr>
        <w:footnoteRef/>
      </w:r>
      <w:r w:rsidRPr="009D484C">
        <w:rPr>
          <w:rFonts w:cs="Times New Roman"/>
          <w:lang w:val="en-US"/>
        </w:rPr>
        <w:t xml:space="preserve"> CEDAW General Recommendation no. 24. Accessed online 24 May 2018: </w:t>
      </w:r>
      <w:hyperlink r:id="rId1" w:history="1">
        <w:r w:rsidRPr="009D484C">
          <w:rPr>
            <w:rStyle w:val="Hyperlink"/>
            <w:rFonts w:cs="Times New Roman"/>
            <w:lang w:val="en-US"/>
          </w:rPr>
          <w:t>http://www.refworld.org/docid/453882a73.html</w:t>
        </w:r>
      </w:hyperlink>
      <w:r w:rsidRPr="009D484C">
        <w:rPr>
          <w:rFonts w:cs="Times New Roman"/>
          <w:lang w:val="en-US"/>
        </w:rPr>
        <w:t xml:space="preserve">; </w:t>
      </w:r>
    </w:p>
    <w:p w:rsidR="00F17F8A" w:rsidRPr="00D95CE2" w:rsidRDefault="00F17F8A" w:rsidP="00F17F8A">
      <w:pPr>
        <w:pStyle w:val="FootnoteText"/>
        <w:ind w:firstLine="0"/>
        <w:jc w:val="left"/>
        <w:rPr>
          <w:rFonts w:asciiTheme="minorHAnsi" w:hAnsiTheme="minorHAnsi"/>
          <w:lang w:val="en-US"/>
        </w:rPr>
      </w:pPr>
      <w:r w:rsidRPr="009D484C">
        <w:rPr>
          <w:rFonts w:eastAsia="Times New Roman" w:cs="Times New Roman"/>
          <w:lang w:val="en-US" w:eastAsia="en-GB"/>
        </w:rPr>
        <w:t xml:space="preserve">CEDAW General Comment no. 35 (2017). </w:t>
      </w:r>
      <w:r w:rsidRPr="009D484C">
        <w:rPr>
          <w:rFonts w:cs="Times New Roman"/>
          <w:lang w:val="en-US"/>
        </w:rPr>
        <w:t>Accessed online 23</w:t>
      </w:r>
      <w:r w:rsidRPr="009D484C">
        <w:rPr>
          <w:rFonts w:cs="Times New Roman"/>
          <w:vertAlign w:val="superscript"/>
          <w:lang w:val="en-US"/>
        </w:rPr>
        <w:t xml:space="preserve"> </w:t>
      </w:r>
      <w:r w:rsidRPr="009D484C">
        <w:rPr>
          <w:rFonts w:cs="Times New Roman"/>
          <w:lang w:val="en-US"/>
        </w:rPr>
        <w:t>May 2018</w:t>
      </w:r>
      <w:r w:rsidRPr="009D484C">
        <w:rPr>
          <w:rFonts w:eastAsia="Times New Roman" w:cs="Times New Roman"/>
          <w:lang w:val="en-US" w:eastAsia="en-GB"/>
        </w:rPr>
        <w:t xml:space="preserve">: </w:t>
      </w:r>
      <w:hyperlink r:id="rId2" w:history="1">
        <w:r w:rsidRPr="009D484C">
          <w:rPr>
            <w:rStyle w:val="Hyperlink"/>
            <w:rFonts w:cs="Times New Roman"/>
            <w:lang w:val="en-US"/>
          </w:rPr>
          <w:t>http://tbinternet.ohchr.org/Treaties/CEDAW/Shared%20Documents/1_Global/CEDAW_C_GC_35_8267_E.pdf</w:t>
        </w:r>
      </w:hyperlink>
      <w:r w:rsidRPr="009D484C">
        <w:rPr>
          <w:rFonts w:eastAsia="Times New Roman" w:cs="Times New Roman"/>
          <w:lang w:val="en-US" w:eastAsia="en-GB"/>
        </w:rPr>
        <w:t xml:space="preserve">; CESCR General Comment no. 14. Accessed online 23 May 2018: </w:t>
      </w:r>
      <w:hyperlink r:id="rId3" w:history="1">
        <w:r w:rsidRPr="009D484C">
          <w:rPr>
            <w:rStyle w:val="Hyperlink"/>
            <w:rFonts w:cs="Times New Roman"/>
            <w:lang w:val="en-US"/>
          </w:rPr>
          <w:t>http://www.refworld.org/pdfid/4538838d0.pdf</w:t>
        </w:r>
      </w:hyperlink>
      <w:r w:rsidRPr="009D484C">
        <w:rPr>
          <w:rFonts w:eastAsia="Times New Roman" w:cs="Times New Roman"/>
          <w:lang w:val="en-US" w:eastAsia="en-GB"/>
        </w:rPr>
        <w:t xml:space="preserve">; CESCR General Comment no. 20. Accessed 24 May 2018: </w:t>
      </w:r>
      <w:hyperlink r:id="rId4" w:history="1">
        <w:r w:rsidRPr="009D484C">
          <w:rPr>
            <w:rStyle w:val="Hyperlink"/>
            <w:rFonts w:cs="Times New Roman"/>
            <w:lang w:val="en-US"/>
          </w:rPr>
          <w:t>http://www.refworld.org/docid/4a60961f2.html</w:t>
        </w:r>
      </w:hyperlink>
      <w:r w:rsidRPr="009D484C">
        <w:rPr>
          <w:rFonts w:eastAsia="Times New Roman" w:cs="Times New Roman"/>
          <w:lang w:val="en-US" w:eastAsia="en-GB"/>
        </w:rPr>
        <w:t xml:space="preserve">; </w:t>
      </w:r>
      <w:hyperlink r:id="rId5" w:anchor="_ftn44" w:tgtFrame="_blank" w:history="1">
        <w:r w:rsidRPr="009D484C">
          <w:rPr>
            <w:rFonts w:cs="Times New Roman"/>
            <w:lang w:val="en-US"/>
          </w:rPr>
          <w:t>C</w:t>
        </w:r>
      </w:hyperlink>
      <w:r w:rsidRPr="009D484C">
        <w:rPr>
          <w:rFonts w:eastAsia="Times New Roman" w:cs="Times New Roman"/>
          <w:lang w:val="en-US" w:eastAsia="en-GB"/>
        </w:rPr>
        <w:t xml:space="preserve">ESCR General Comment no. 22. </w:t>
      </w:r>
      <w:r w:rsidRPr="009D484C">
        <w:rPr>
          <w:rFonts w:cs="Times New Roman"/>
          <w:lang w:val="en-US"/>
        </w:rPr>
        <w:t>Accessed online 23</w:t>
      </w:r>
      <w:r w:rsidRPr="009D484C">
        <w:rPr>
          <w:rFonts w:cs="Times New Roman"/>
          <w:vertAlign w:val="superscript"/>
          <w:lang w:val="en-US"/>
        </w:rPr>
        <w:t xml:space="preserve"> </w:t>
      </w:r>
      <w:r w:rsidRPr="009D484C">
        <w:rPr>
          <w:rFonts w:cs="Times New Roman"/>
          <w:lang w:val="en-US"/>
        </w:rPr>
        <w:t>May 2018</w:t>
      </w:r>
      <w:r w:rsidRPr="009D484C">
        <w:rPr>
          <w:rFonts w:eastAsia="Times New Roman" w:cs="Times New Roman"/>
          <w:lang w:val="en-US" w:eastAsia="en-GB"/>
        </w:rPr>
        <w:t xml:space="preserve">: </w:t>
      </w:r>
      <w:hyperlink r:id="rId6" w:history="1">
        <w:r w:rsidRPr="009D484C">
          <w:rPr>
            <w:rStyle w:val="Hyperlink"/>
            <w:rFonts w:cs="Times New Roman"/>
            <w:lang w:val="en-US"/>
          </w:rPr>
          <w:t>https://www.escr-net.org/resources/general-comment-no-22-2016-right-sexual-and-reproductive-health</w:t>
        </w:r>
      </w:hyperlink>
      <w:r w:rsidRPr="009D484C">
        <w:rPr>
          <w:rFonts w:eastAsia="Times New Roman" w:cs="Times New Roman"/>
          <w:lang w:val="en-US" w:eastAsia="en-GB"/>
        </w:rPr>
        <w:t xml:space="preserve">; CRC General Comment No. 15. Accessed 24 May 2018: </w:t>
      </w:r>
      <w:hyperlink r:id="rId7" w:history="1">
        <w:r w:rsidRPr="009D484C">
          <w:rPr>
            <w:rStyle w:val="Hyperlink"/>
            <w:rFonts w:cs="Times New Roman"/>
            <w:lang w:val="en-US"/>
          </w:rPr>
          <w:t>http://www.refworld.org/docid/51ef9e134.html</w:t>
        </w:r>
      </w:hyperlink>
      <w:r w:rsidRPr="009D484C">
        <w:rPr>
          <w:rFonts w:eastAsia="Times New Roman" w:cs="Times New Roman"/>
          <w:lang w:val="en-US" w:eastAsia="en-GB"/>
        </w:rPr>
        <w:t xml:space="preserve">; CRPD Articles 23 and 25. Accessed online 24 May 2018: </w:t>
      </w:r>
      <w:hyperlink r:id="rId8" w:history="1">
        <w:r w:rsidRPr="009D484C">
          <w:rPr>
            <w:rStyle w:val="Hyperlink"/>
            <w:rFonts w:cs="Times New Roman"/>
            <w:lang w:val="en-US"/>
          </w:rPr>
          <w:t>https://www.un.org/development/desa/disabilities/convention-on-the-rights-of-persons-with-disabilities/convention-on-the-rights-of-persons-with-disabilities-2.html</w:t>
        </w:r>
      </w:hyperlink>
      <w:r w:rsidRPr="009D484C">
        <w:rPr>
          <w:rFonts w:eastAsia="Times New Roman" w:cs="Times New Roman"/>
          <w:lang w:val="en-US" w:eastAsia="en-GB"/>
        </w:rPr>
        <w:t>.</w:t>
      </w:r>
      <w:r w:rsidRPr="00D95CE2">
        <w:rPr>
          <w:rFonts w:asciiTheme="minorHAnsi" w:eastAsia="Times New Roman" w:hAnsiTheme="minorHAnsi" w:cs="Times New Roman"/>
          <w:lang w:val="en-US" w:eastAsia="en-GB"/>
        </w:rPr>
        <w:t xml:space="preserve"> </w:t>
      </w:r>
      <w:r w:rsidRPr="00D95CE2">
        <w:rPr>
          <w:rFonts w:asciiTheme="minorHAnsi" w:hAnsiTheme="minorHAnsi"/>
          <w:lang w:val="en-US"/>
        </w:rPr>
        <w:t xml:space="preserve"> </w:t>
      </w:r>
    </w:p>
  </w:footnote>
  <w:footnote w:id="4">
    <w:p w:rsidR="00F17F8A" w:rsidRDefault="00F17F8A" w:rsidP="00F17F8A">
      <w:pPr>
        <w:pStyle w:val="FootnoteText"/>
        <w:ind w:firstLine="0"/>
        <w:jc w:val="left"/>
      </w:pPr>
      <w:r>
        <w:rPr>
          <w:rStyle w:val="FootnoteReference"/>
        </w:rPr>
        <w:footnoteRef/>
      </w:r>
      <w:r>
        <w:t xml:space="preserve"> </w:t>
      </w:r>
      <w:r w:rsidRPr="00686B24">
        <w:t>Правовые барьеры не считаются применимыми для двух операционных компонентов: C2: товары, спасающие жизнь, и c9: учебная программа CSE.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1F" w:rsidRPr="00D7271F" w:rsidRDefault="00D7271F" w:rsidP="00D7271F">
    <w:pPr>
      <w:pStyle w:val="Header"/>
      <w:jc w:val="right"/>
      <w:rPr>
        <w:i/>
      </w:rPr>
    </w:pPr>
    <w:r w:rsidRPr="00D7271F">
      <w:rPr>
        <w:i/>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E7"/>
    <w:multiLevelType w:val="hybridMultilevel"/>
    <w:tmpl w:val="B576E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86847"/>
    <w:multiLevelType w:val="hybridMultilevel"/>
    <w:tmpl w:val="54EC355A"/>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C0027"/>
    <w:multiLevelType w:val="hybridMultilevel"/>
    <w:tmpl w:val="FC3AD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5C400C"/>
    <w:multiLevelType w:val="hybridMultilevel"/>
    <w:tmpl w:val="B49C76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D92E94"/>
    <w:multiLevelType w:val="hybridMultilevel"/>
    <w:tmpl w:val="9900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338"/>
    <w:rsid w:val="000E1BB8"/>
    <w:rsid w:val="00161871"/>
    <w:rsid w:val="00225D55"/>
    <w:rsid w:val="00230E90"/>
    <w:rsid w:val="002A0FB4"/>
    <w:rsid w:val="002B6526"/>
    <w:rsid w:val="00356191"/>
    <w:rsid w:val="003D6099"/>
    <w:rsid w:val="00461446"/>
    <w:rsid w:val="004E2504"/>
    <w:rsid w:val="00526564"/>
    <w:rsid w:val="0062188E"/>
    <w:rsid w:val="00686B24"/>
    <w:rsid w:val="006B4436"/>
    <w:rsid w:val="006E52C6"/>
    <w:rsid w:val="00786D7B"/>
    <w:rsid w:val="009D484C"/>
    <w:rsid w:val="009D7338"/>
    <w:rsid w:val="00B23DD9"/>
    <w:rsid w:val="00B6114C"/>
    <w:rsid w:val="00CB57BD"/>
    <w:rsid w:val="00CC79C2"/>
    <w:rsid w:val="00D7271F"/>
    <w:rsid w:val="00D95CE2"/>
    <w:rsid w:val="00DD2847"/>
    <w:rsid w:val="00F17F8A"/>
    <w:rsid w:val="00F65050"/>
    <w:rsid w:val="00F978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before="240" w:after="240"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2C6"/>
    <w:rPr>
      <w:color w:val="0000FF" w:themeColor="hyperlink"/>
      <w:u w:val="single"/>
    </w:rPr>
  </w:style>
  <w:style w:type="paragraph" w:styleId="FootnoteText">
    <w:name w:val="footnote text"/>
    <w:basedOn w:val="Normal"/>
    <w:link w:val="FootnoteTextChar"/>
    <w:uiPriority w:val="99"/>
    <w:semiHidden/>
    <w:unhideWhenUsed/>
    <w:rsid w:val="00230E90"/>
    <w:pPr>
      <w:spacing w:before="0"/>
    </w:pPr>
    <w:rPr>
      <w:sz w:val="20"/>
      <w:szCs w:val="20"/>
    </w:rPr>
  </w:style>
  <w:style w:type="character" w:customStyle="1" w:styleId="FootnoteTextChar">
    <w:name w:val="Footnote Text Char"/>
    <w:basedOn w:val="DefaultParagraphFont"/>
    <w:link w:val="FootnoteText"/>
    <w:uiPriority w:val="99"/>
    <w:semiHidden/>
    <w:rsid w:val="00230E90"/>
    <w:rPr>
      <w:sz w:val="20"/>
      <w:szCs w:val="20"/>
    </w:rPr>
  </w:style>
  <w:style w:type="character" w:styleId="FootnoteReference">
    <w:name w:val="footnote reference"/>
    <w:basedOn w:val="DefaultParagraphFont"/>
    <w:uiPriority w:val="99"/>
    <w:semiHidden/>
    <w:unhideWhenUsed/>
    <w:rsid w:val="00230E90"/>
    <w:rPr>
      <w:vertAlign w:val="superscript"/>
    </w:rPr>
  </w:style>
  <w:style w:type="table" w:styleId="TableGrid">
    <w:name w:val="Table Grid"/>
    <w:basedOn w:val="TableNormal"/>
    <w:uiPriority w:val="39"/>
    <w:rsid w:val="00D95CE2"/>
    <w:pPr>
      <w:pBdr>
        <w:top w:val="nil"/>
        <w:left w:val="nil"/>
        <w:bottom w:val="nil"/>
        <w:right w:val="nil"/>
        <w:between w:val="nil"/>
      </w:pBdr>
      <w:spacing w:before="0" w:after="0" w:line="240" w:lineRule="auto"/>
      <w:ind w:firstLine="0"/>
      <w:jc w:val="left"/>
    </w:pPr>
    <w:rPr>
      <w:rFonts w:ascii="Calibri" w:eastAsia="Calibri" w:hAnsi="Calibri" w:cs="Calibri"/>
      <w:color w:val="000000"/>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79C2"/>
    <w:rPr>
      <w:color w:val="800080" w:themeColor="followedHyperlink"/>
      <w:u w:val="single"/>
    </w:rPr>
  </w:style>
  <w:style w:type="paragraph" w:styleId="Header">
    <w:name w:val="header"/>
    <w:basedOn w:val="Normal"/>
    <w:link w:val="HeaderChar"/>
    <w:uiPriority w:val="99"/>
    <w:unhideWhenUsed/>
    <w:rsid w:val="00D7271F"/>
    <w:pPr>
      <w:tabs>
        <w:tab w:val="center" w:pos="4677"/>
        <w:tab w:val="right" w:pos="9355"/>
      </w:tabs>
      <w:spacing w:before="0"/>
    </w:pPr>
  </w:style>
  <w:style w:type="character" w:customStyle="1" w:styleId="HeaderChar">
    <w:name w:val="Header Char"/>
    <w:basedOn w:val="DefaultParagraphFont"/>
    <w:link w:val="Header"/>
    <w:uiPriority w:val="99"/>
    <w:rsid w:val="00D7271F"/>
  </w:style>
  <w:style w:type="paragraph" w:styleId="Footer">
    <w:name w:val="footer"/>
    <w:basedOn w:val="Normal"/>
    <w:link w:val="FooterChar"/>
    <w:uiPriority w:val="99"/>
    <w:unhideWhenUsed/>
    <w:rsid w:val="00D7271F"/>
    <w:pPr>
      <w:tabs>
        <w:tab w:val="center" w:pos="4677"/>
        <w:tab w:val="right" w:pos="9355"/>
      </w:tabs>
      <w:spacing w:before="0"/>
    </w:pPr>
  </w:style>
  <w:style w:type="character" w:customStyle="1" w:styleId="FooterChar">
    <w:name w:val="Footer Char"/>
    <w:basedOn w:val="DefaultParagraphFont"/>
    <w:link w:val="Footer"/>
    <w:uiPriority w:val="99"/>
    <w:rsid w:val="00D7271F"/>
  </w:style>
  <w:style w:type="paragraph" w:styleId="ListParagraph">
    <w:name w:val="List Paragraph"/>
    <w:basedOn w:val="Normal"/>
    <w:uiPriority w:val="34"/>
    <w:qFormat/>
    <w:rsid w:val="00DD2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68301">
      <w:bodyDiv w:val="1"/>
      <w:marLeft w:val="0"/>
      <w:marRight w:val="0"/>
      <w:marTop w:val="0"/>
      <w:marBottom w:val="0"/>
      <w:divBdr>
        <w:top w:val="none" w:sz="0" w:space="0" w:color="auto"/>
        <w:left w:val="none" w:sz="0" w:space="0" w:color="auto"/>
        <w:bottom w:val="none" w:sz="0" w:space="0" w:color="auto"/>
        <w:right w:val="none" w:sz="0" w:space="0" w:color="auto"/>
      </w:divBdr>
    </w:div>
    <w:div w:id="737285073">
      <w:bodyDiv w:val="1"/>
      <w:marLeft w:val="0"/>
      <w:marRight w:val="0"/>
      <w:marTop w:val="0"/>
      <w:marBottom w:val="0"/>
      <w:divBdr>
        <w:top w:val="none" w:sz="0" w:space="0" w:color="auto"/>
        <w:left w:val="none" w:sz="0" w:space="0" w:color="auto"/>
        <w:bottom w:val="none" w:sz="0" w:space="0" w:color="auto"/>
        <w:right w:val="none" w:sz="0" w:space="0" w:color="auto"/>
      </w:divBdr>
    </w:div>
    <w:div w:id="19791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5aUNkLrzuEmXS9K7rEPEn87lC3ENyEro/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file/d/18ckC6IGJ92G-xY1yfnggQuZi3KAVQoRI/vie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velopment/desa/disabilities/convention-on-the-rights-of-persons-with-disabilities/convention-on-the-rights-of-persons-with-disabilities-2.html" TargetMode="External"/><Relationship Id="rId3" Type="http://schemas.openxmlformats.org/officeDocument/2006/relationships/hyperlink" Target="http://www.refworld.org/pdfid/4538838d0.pdf" TargetMode="External"/><Relationship Id="rId7" Type="http://schemas.openxmlformats.org/officeDocument/2006/relationships/hyperlink" Target="http://www.refworld.org/docid/51ef9e134.html" TargetMode="External"/><Relationship Id="rId2" Type="http://schemas.openxmlformats.org/officeDocument/2006/relationships/hyperlink" Target="http://tbinternet.ohchr.org/Treaties/CEDAW/Shared%20Documents/1_Global/CEDAW_C_GC_35_8267_E.pdf" TargetMode="External"/><Relationship Id="rId1" Type="http://schemas.openxmlformats.org/officeDocument/2006/relationships/hyperlink" Target="http://www.refworld.org/docid/453882a73.html" TargetMode="External"/><Relationship Id="rId6" Type="http://schemas.openxmlformats.org/officeDocument/2006/relationships/hyperlink" Target="https://www.escr-net.org/resources/general-comment-no-22-2016-right-sexual-and-reproductive-health" TargetMode="External"/><Relationship Id="rId5" Type="http://schemas.openxmlformats.org/officeDocument/2006/relationships/hyperlink" Target="https://www.escr-net.org/resources/general-comment-no-22-2016-right-sexual-and-reproductive-health" TargetMode="External"/><Relationship Id="rId4" Type="http://schemas.openxmlformats.org/officeDocument/2006/relationships/hyperlink" Target="http://www.refworld.org/docid/4a60961f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3FD42-6670-0742-9EB6-605698F5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2137</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Игнатова Наталья Владимировна</dc:creator>
  <cp:lastModifiedBy>Microsoft Office User</cp:lastModifiedBy>
  <cp:revision>10</cp:revision>
  <cp:lastPrinted>2019-03-05T14:15:00Z</cp:lastPrinted>
  <dcterms:created xsi:type="dcterms:W3CDTF">2018-07-24T10:59:00Z</dcterms:created>
  <dcterms:modified xsi:type="dcterms:W3CDTF">2021-08-19T11:09:00Z</dcterms:modified>
</cp:coreProperties>
</file>