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Цель 4: </w:t>
      </w:r>
      <w:r w:rsidRPr="004C215C">
        <w:rPr>
          <w:rFonts w:ascii="Times New Roman" w:hAnsi="Times New Roman" w:cs="Times New Roman"/>
          <w:sz w:val="24"/>
          <w:szCs w:val="24"/>
        </w:rPr>
        <w:t>Обеспечение всеохватного и справедливого качеств</w:t>
      </w:r>
      <w:r>
        <w:rPr>
          <w:rFonts w:ascii="Times New Roman" w:hAnsi="Times New Roman" w:cs="Times New Roman"/>
          <w:sz w:val="24"/>
          <w:szCs w:val="24"/>
        </w:rPr>
        <w:t xml:space="preserve">енного образования и поощрение </w:t>
      </w:r>
      <w:r w:rsidRPr="004C215C">
        <w:rPr>
          <w:rFonts w:ascii="Times New Roman" w:hAnsi="Times New Roman" w:cs="Times New Roman"/>
          <w:sz w:val="24"/>
          <w:szCs w:val="24"/>
        </w:rPr>
        <w:t>возможности обучения на протяжении всей жизни для всех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D42C2A">
        <w:rPr>
          <w:rFonts w:ascii="Times New Roman" w:hAnsi="Times New Roman" w:cs="Times New Roman"/>
          <w:sz w:val="24"/>
          <w:szCs w:val="24"/>
        </w:rPr>
        <w:t xml:space="preserve">a: </w:t>
      </w:r>
      <w:r w:rsidRPr="004C215C">
        <w:rPr>
          <w:rFonts w:ascii="Times New Roman" w:hAnsi="Times New Roman" w:cs="Times New Roman"/>
          <w:sz w:val="24"/>
          <w:szCs w:val="24"/>
        </w:rPr>
        <w:t>Создавать и совершенствовать учебные заведения, учитывающие интересы детей, особые нужды инвалидов и гендерные аспекты, и обеспечить безопасную, свободную от насилия и социальных барьеров и эффективную среду обучения для всех</w:t>
      </w:r>
    </w:p>
    <w:p w:rsidR="006870DD" w:rsidRDefault="006870DD" w:rsidP="006870DD">
      <w:pPr>
        <w:spacing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42C2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Показатель 4.a.1: </w:t>
      </w:r>
      <w:r w:rsidRPr="004C215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Доля школ, обеспеченных: a) электроэнергией; b) услугами Интернета для учебных целей; c) компьютерам для учебных целей; d) адаптированной инфраструктурой и материалами для учащихся-инвалидов; e) базовым источникам питьевой воды; f) раздельными минимально оборудованными туалетами; и g) базовыми средствами для мытья рук (согласно определениям показателей инициативы ВССГ)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pBdr>
          <w:between w:val="single" w:sz="12" w:space="1" w:color="DBE5F1" w:themeColor="accent1" w:themeTint="33"/>
        </w:pBd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D59D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Институционал</w:t>
      </w:r>
      <w:r w:rsidRPr="00D42C2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ьная информация</w:t>
      </w: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D42C2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рганизация</w:t>
      </w:r>
      <w:r w:rsidRPr="00D42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Институт статистики ЮНЕСКО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UNISCO-UIS) </w:t>
      </w: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Pr="00D42C2A" w:rsidRDefault="006870DD" w:rsidP="006870DD">
      <w:pPr>
        <w:pBdr>
          <w:between w:val="single" w:sz="12" w:space="1" w:color="DBE5F1" w:themeColor="accent1" w:themeTint="33"/>
        </w:pBd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D59D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Понятия и определения</w:t>
      </w: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Определение</w:t>
      </w:r>
      <w:r w:rsidRPr="00D42C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870DD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школ по уровню образования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начального образования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к данному объекту или услуге.</w:t>
      </w: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2C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Обоснование:</w:t>
      </w:r>
      <w:r w:rsidRPr="003D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измеряет доступ в школах к основным базовым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услугам, необходимым для обеспечения безопасной и эффективной учебной среды для всех учащихся. Высокое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указывает на то, что школы имеют хороший 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соответствующим услугам и средствам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идеале каждая школа должна иметь доступ ко всем этим услугам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9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Понятия: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70DD" w:rsidRPr="00D42C2A" w:rsidRDefault="006870DD" w:rsidP="006870DD">
      <w:pPr>
        <w:shd w:val="clear" w:color="auto" w:fill="FFFFFF" w:themeFill="background1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Электричество: легкодоступные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регулярной основе 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источники энергии (например, сетевое подключение,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генераторы ветровой, солнечной, топливной энергии и гидрогенераторы и т. д.), к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позволяют адекватно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устойчиво использовать ИКТ для образовательных целей.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для педагогических 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Интернет доступный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улучшения обучения и преподавания,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ученикам. Интернет определяется как всемирная взаимосвязанная компьютерная сеть, которая предоставляет ученикам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 к ряду услуг связи, включая «всемирную паутину», 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электронные новости, развлекательные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файлы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файлы данных, независимо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используемого устройства (т. е. не только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компьютер),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т.е.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которым также может быть получен используя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мобильн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телефоны, планшеты, КПК, игровые автоматы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>, цифрово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телевидение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Доступ может осуществляться через фиксированный узкополосный, фиксированный широкополосный доступ или через мобильную сеть. 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для использования в педагогических целях: использование компьютеров для поддержки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проводимого 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или самостоятельных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требностей в обучении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может включать в себя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 компьютеров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удовлетворения информационных потребностей в исследовательских целях, при разработке презентаций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проведении 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упражнений и экспериментов; 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распространении информации; и участия в онлайн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дискуссионных форумах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бразовательных целях. Компьютер </w:t>
      </w:r>
      <w:r w:rsidRPr="003D59D5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программируемое электронное устройство, которое может хранить, извлекать и обрабатыв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данные, а также производить обмен информацией с</w:t>
      </w:r>
      <w:r w:rsidRPr="00D4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высокой степенью структурированности. Он выполняет высокоскоростные математические или логические операции в соответствии с набором инструкций или алгоритмов. Компьютеры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разделяются на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типы: </w:t>
      </w:r>
    </w:p>
    <w:p w:rsidR="006870DD" w:rsidRPr="00D42C2A" w:rsidRDefault="006870DD" w:rsidP="006870DD">
      <w:pPr>
        <w:pStyle w:val="ListParagraph"/>
        <w:numPr>
          <w:ilvl w:val="0"/>
          <w:numId w:val="6"/>
        </w:num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2A5885"/>
          <w:sz w:val="24"/>
          <w:szCs w:val="24"/>
        </w:rPr>
      </w:pPr>
      <w:r w:rsidRPr="00D4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настольный компьютер обычно остается фиксированным в одном месте, 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обычно польз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ователь находится перед ним;</w:t>
      </w:r>
    </w:p>
    <w:p w:rsidR="006870DD" w:rsidRPr="00D42C2A" w:rsidRDefault="006870DD" w:rsidP="006870D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портативный компьютер возможен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переноса и обычно включает те же задачи, что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настольный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</w:t>
      </w:r>
      <w:r w:rsidRPr="00AB4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включаются ноутбуки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нетбуки, но не включа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ются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планшеты и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налогичные карманные устройства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870DD" w:rsidRPr="00D42C2A" w:rsidRDefault="006870DD" w:rsidP="006870D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планшет (или аналогичный карманный компьютер) - это компьютер, встроенный в плоский сенсорный экран, управляемый прикосновением к экрану вместо использования физической клавиатуры. </w:t>
      </w:r>
    </w:p>
    <w:p w:rsidR="006870DD" w:rsidRPr="00C95105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Адаптированная инфраструктура определяется как любая построенная среда, связанная с учебными заведениями, доступная для всех пользователей, включая людей с различными типами инвалидности, для получения доступа к их использованию и выхода из них. Доступность включает в себя простоту самостоятельного подхода, ввод, эвакуацию и / или использование здания и его услуг и объектов (таких как водоснабжение и санитария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всеми потенциальными пользователями здания с гарантией индивидуального здоровья, безопасности и благосостояния в ходе этих мероприятий.</w:t>
      </w:r>
      <w:r w:rsidRPr="00C95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Адаптированные материалы включают учебные материалы и вспомогательные продукты, которые позволяют студентам и преподавателям с ограниченными возможностями / функциональными ограничениями получить доступ к обучению и полностью участвовать в школьной среде.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Доступные учебные материалы включают учебные материалы, оцен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очные материалы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учебные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материалы, которые доступны и предоставляются в соответствующих форматах, таких как аудио, шрифт Брайля, язык жестов и упрощенные форматы, которые могут быть использованы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студентами и преподавателями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ограниченными возможностями / функциональными ограничениями.</w:t>
      </w:r>
    </w:p>
    <w:p w:rsidR="006870DD" w:rsidRPr="00C95105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Базовая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питьевая вода определяется как функциональный источник питьевой воды (категории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улучшенных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ЦРТ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помещении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вблизи помещений и точ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 воды, доступные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всех пользователей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течение учебных часов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Базовые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 санитарии определяются как функциональные санитарно-гигиенические объекты (категории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енных»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ЦРТ), разделенные для мужчин и женщин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помещении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вблизи помещений. 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Базовые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 для мытья рук определяются как функциональные средства для мытья рук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мылом и водой доступные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всех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девочек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мальчиков.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Комментарии и ограничения 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Показатель измеряет наличие в школах данного сервиса или объекта, но не его качество или оперативное состояние. </w:t>
      </w:r>
    </w:p>
    <w:p w:rsidR="006870DD" w:rsidRPr="00D42C2A" w:rsidRDefault="006870DD" w:rsidP="006870DD">
      <w:pPr>
        <w:pBdr>
          <w:between w:val="single" w:sz="12" w:space="1" w:color="DBE5F1" w:themeColor="accent1" w:themeTint="33"/>
          <w:bar w:val="single" w:sz="12" w:color="DBE5F1" w:themeColor="accent1" w:themeTint="33"/>
        </w:pBdr>
        <w:spacing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</w:pPr>
      <w:r w:rsidRPr="00D42C2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Методология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Метод расчета: 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оличество школ на определенном уровне образования с доступом к соответствующим средствам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выражается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процентах от всех школ на этом уровне образования.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PSn</w:t>
      </w:r>
      <w:r w:rsidRPr="00656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Pr="00656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=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Sn</w:t>
      </w:r>
      <w:r w:rsidRPr="00656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</w:p>
    <w:p w:rsidR="006870DD" w:rsidRPr="00656B5B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Sn</w:t>
      </w:r>
    </w:p>
    <w:p w:rsidR="006870DD" w:rsidRPr="00656B5B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PSn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=процент школ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уровне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201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доступом к объекту f  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Sn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школы на уровне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доступом к объекту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</w:p>
    <w:p w:rsidR="006870DD" w:rsidRPr="00201145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Sn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общее количество школ на уровне образования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Дезагрегация: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уровню образования </w:t>
      </w:r>
    </w:p>
    <w:p w:rsidR="006870DD" w:rsidRPr="00201145" w:rsidRDefault="006870DD" w:rsidP="006870D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Обработка отсутствующих значений</w:t>
      </w:r>
    </w:p>
    <w:p w:rsidR="006870DD" w:rsidRPr="00D42C2A" w:rsidRDefault="006870DD" w:rsidP="006870D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val="en-US"/>
        </w:rPr>
      </w:pPr>
      <w:r w:rsidRPr="00D42C2A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На страновом уровне </w:t>
      </w:r>
    </w:p>
    <w:p w:rsidR="006870DD" w:rsidRPr="007C2472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Институт статистики ЮНЕСКО оценивает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определенные ключевые элементы данных, которые могут отсутствовать 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неполными для того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опубликов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ывать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оценки на уровне стра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ны. Там, где это невозможно,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 статистики ЮНЕСКО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замещает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недостающие значения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исключительно с целью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расчета региональных и глобальных агрегатов. </w:t>
      </w:r>
    </w:p>
    <w:p w:rsidR="006870DD" w:rsidRPr="00656B5B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всех случаях оценки основаны на фактических данных самой страны (например, информация от поставщика данных о размере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пропущенного значения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через корреспонденцию, публикации или данные на веб-странице Министерства или Национального статистического управления или через опросы, проведенные другими организациями) или по данным страны за предыдущий год.</w:t>
      </w:r>
    </w:p>
    <w:p w:rsidR="006870DD" w:rsidRPr="00D42C2A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данные доступны для страны как для более раннего, так и для более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позднего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сравнению с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отсутствующ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годом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применяется метод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линейн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интерполяция. Если данные доступны только в течение более раннего года, в качестве оценки используется самое последнее значение. Аналогичным образом, когда данные доступны только в течение более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позднего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года, последнее значение используется в качестве оценки. </w:t>
      </w:r>
    </w:p>
    <w:p w:rsidR="006870DD" w:rsidRPr="00656B5B" w:rsidRDefault="006870DD" w:rsidP="006870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соответствующие данные не доступны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страны, оценки могут основываться на другой переменной,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торая связана с оценкой других данных, связанных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рассматриваемыми данными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Например, школы, имеющие доступ к базовым услугам 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средствам</w:t>
      </w: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могут быть оценены из общего числа школ.</w:t>
      </w:r>
    </w:p>
    <w:p w:rsidR="006870DD" w:rsidRPr="00656B5B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страны нет данных, которые могли бы сообщить об оценке, используется невзвешенное среднее значение для региона, в котором находится страна. В настоящее время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 не делается никаких оценок с целью публикации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по стране на глобальном и региональном уровнях. </w:t>
      </w:r>
    </w:p>
    <w:p w:rsidR="006870DD" w:rsidRPr="00656B5B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Default="006870DD" w:rsidP="006870D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D42C2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Региональные и глобальные агрегаты </w:t>
      </w:r>
    </w:p>
    <w:p w:rsidR="006870DD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глобальные агрегаты получают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как опубликованных, так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замещенных 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национальных данных. 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бликуемые данные, представляются в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 статистики ЮНЕСКО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государствами-членами,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явной оценки, сделанной Институтом на основе предварительно определенных стандартов. </w:t>
      </w:r>
      <w:r w:rsidRPr="00D4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обоих 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случая</w:t>
      </w:r>
      <w:r w:rsidRPr="00D42C2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>, эти данные направляются государствам-членам для рассмотрения до того, как они будут опубликованы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Институтом статистики ЮНЕСКО (ИСЮ).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да</w:t>
      </w:r>
      <w:r w:rsidRPr="00D42C2A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недоступны для всех стран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ИСЮ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замещает 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национальные данные с единственной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региональных средних значений. Эти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замещенные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не публикуются и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распространяются.</w:t>
      </w:r>
    </w:p>
    <w:p w:rsidR="006870DD" w:rsidRPr="00D866A0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Региональные агрегаты: 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C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егиональные и глобальные агрегаты рассчитываются как средневзвешенные значения с использованием знаменателя показателя как веса. Как описано выше, когда публикуемые данные недоступны для данной страны или года, 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замещаются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расчета региональных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глобальных агрегатов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Источники расхождений: 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C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публикованные на национальном уровне цифры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аться 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>от международных из-за различий между национальными системами образования и Международной стандартной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ассификацией образования (МСКО)</w:t>
      </w:r>
      <w:r w:rsidRPr="00C74F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из-за различий</w:t>
      </w:r>
      <w:r w:rsidRPr="00531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охвате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показателя.</w:t>
      </w:r>
    </w:p>
    <w:p w:rsidR="006870DD" w:rsidRPr="007C2472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0DD" w:rsidRPr="007C2472" w:rsidRDefault="006870DD" w:rsidP="006870DD">
      <w:pPr>
        <w:pBdr>
          <w:between w:val="single" w:sz="12" w:space="1" w:color="DBE5F1" w:themeColor="accent1" w:themeTint="3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53152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Источники данных 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b/>
          <w:sz w:val="24"/>
          <w:szCs w:val="24"/>
        </w:rPr>
        <w:t>Описание: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sz w:val="24"/>
          <w:szCs w:val="24"/>
        </w:rPr>
        <w:t>Административные данные из школ и других поставщиков образования или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C2A">
        <w:rPr>
          <w:rFonts w:ascii="Times New Roman" w:eastAsia="Times New Roman" w:hAnsi="Times New Roman" w:cs="Times New Roman"/>
          <w:b/>
          <w:sz w:val="24"/>
          <w:szCs w:val="24"/>
        </w:rPr>
        <w:t>Процесс сбора: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ИСЮ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создает временные ряды на основе данных, представленных министерствами образования или Национальными статистическими </w:t>
      </w:r>
      <w:r>
        <w:rPr>
          <w:rFonts w:ascii="Times New Roman" w:eastAsia="Times New Roman" w:hAnsi="Times New Roman" w:cs="Times New Roman"/>
          <w:sz w:val="24"/>
          <w:szCs w:val="24"/>
        </w:rPr>
        <w:t>службами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. Данные собираются в рамках ежегодного </w:t>
      </w:r>
      <w:r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формального образования (о доступе к электричеству, питьевой воде, санитарии и средствах для мытья рук) и через ИКТ в образовании (доступ к электричеству, Интернету и компьютерам). Данные об адаптированной инфраструктуре в настоящее время не собираются</w:t>
      </w:r>
      <w:r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транам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предоставлять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данные в соответствии с уровнями образования, определенными в Международной стандартной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классификации образования (МСКО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, чтобы обеспечить международную сопоставимость полученных показателей.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Полученные данные проверяются с использованием электронных систем обнаружения ошибок,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торые проверяют арифметические ошибки,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несогласованности и анализ тенденций для неправдоподобных результатов. Запросы рассматриваются с представителями стран, представляющими данные,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чего могут быть проведены исправления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ошиб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или объяснения (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неправдоподобных, но правильных результатов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). В ходе этого процесса странам также предлагается предоставлять оценки недостающих или неполных данных. 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страны также имеют возможность увидеть и прокомментировать основные показатели,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>ИСЮ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публикует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в ежегодном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страновом обзоре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показателей. </w:t>
      </w:r>
    </w:p>
    <w:p w:rsidR="006870DD" w:rsidRPr="007C2472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0DD" w:rsidRPr="007C2472" w:rsidRDefault="006870DD" w:rsidP="006870DD">
      <w:pPr>
        <w:pBdr>
          <w:between w:val="single" w:sz="12" w:space="1" w:color="DBE5F1" w:themeColor="accent1" w:themeTint="3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53152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Доступность данных 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Описание: 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касательно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электричества и компьютеров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доступны в 70 странах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данные по доступности Интернета, воды и санитарии – в 100 странах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данные о наличие моющих средств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собираются впервые в 2016 году. </w:t>
      </w:r>
      <w:r>
        <w:rPr>
          <w:rFonts w:ascii="Times New Roman" w:eastAsia="Times New Roman" w:hAnsi="Times New Roman" w:cs="Times New Roman"/>
          <w:sz w:val="24"/>
          <w:szCs w:val="24"/>
        </w:rPr>
        <w:t>Данные об а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даптированн</w:t>
      </w:r>
      <w:r>
        <w:rPr>
          <w:rFonts w:ascii="Times New Roman" w:eastAsia="Times New Roman" w:hAnsi="Times New Roman" w:cs="Times New Roman"/>
          <w:sz w:val="24"/>
          <w:szCs w:val="24"/>
        </w:rPr>
        <w:t>ой инфраструктуре еще не собраны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на глобальном уровне. 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Временные ряды: </w:t>
      </w: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sz w:val="24"/>
          <w:szCs w:val="24"/>
        </w:rPr>
        <w:t>2007-2015 годы</w:t>
      </w:r>
    </w:p>
    <w:p w:rsidR="006870DD" w:rsidRPr="0053152E" w:rsidRDefault="006870DD" w:rsidP="00687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7C2472" w:rsidRDefault="006870DD" w:rsidP="006870DD">
      <w:pPr>
        <w:pBdr>
          <w:between w:val="single" w:sz="12" w:space="1" w:color="DBE5F1" w:themeColor="accent1" w:themeTint="33"/>
        </w:pBd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53152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Календарь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b/>
          <w:sz w:val="24"/>
          <w:szCs w:val="24"/>
        </w:rPr>
        <w:t xml:space="preserve">Сбор данных: 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D42C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нварь 2017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(данные по электроснабжению, водоснабжению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, санитарии и средств для мытья рук), конец 2016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(для данных о доступности интернета и наличия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компьютеров). 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 данных: 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оябрь / декабрь 2016 года (</w:t>
      </w:r>
      <w:r>
        <w:rPr>
          <w:rFonts w:ascii="Times New Roman" w:eastAsia="Times New Roman" w:hAnsi="Times New Roman" w:cs="Times New Roman"/>
          <w:sz w:val="24"/>
          <w:szCs w:val="24"/>
        </w:rPr>
        <w:t>данные по электроснабжению, водоснабжению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, санитарии и средств для мытья рук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о доступности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наличию компьютеров -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кон</w:t>
      </w:r>
      <w:r>
        <w:rPr>
          <w:rFonts w:ascii="Times New Roman" w:eastAsia="Times New Roman" w:hAnsi="Times New Roman" w:cs="Times New Roman"/>
          <w:sz w:val="24"/>
          <w:szCs w:val="24"/>
        </w:rPr>
        <w:t>ец 2017 года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7C2472" w:rsidRDefault="006870DD" w:rsidP="006870DD">
      <w:pPr>
        <w:pBdr>
          <w:between w:val="single" w:sz="12" w:space="1" w:color="DBE5F1" w:themeColor="accent1" w:themeTint="33"/>
        </w:pBd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53152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Поставщики данных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D42C2A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/ или национальны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статистически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70DD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Институт</w:t>
      </w:r>
      <w:r w:rsidRPr="0053152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Институт статистики ЮНЕСКО. 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7C2472" w:rsidRDefault="006870DD" w:rsidP="006870DD">
      <w:pPr>
        <w:pBdr>
          <w:between w:val="single" w:sz="12" w:space="1" w:color="DBE5F1" w:themeColor="accent1" w:themeTint="33"/>
        </w:pBd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53152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Ссылки</w:t>
      </w:r>
      <w:r w:rsidRPr="00656B5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:rsidR="006870DD" w:rsidRPr="00656B5B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URL</w:t>
      </w:r>
      <w:r w:rsidRPr="00656B5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70DD" w:rsidRPr="00656B5B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3152E">
        <w:rPr>
          <w:rFonts w:ascii="Times New Roman" w:eastAsia="Times New Roman" w:hAnsi="Times New Roman" w:cs="Times New Roman"/>
          <w:sz w:val="24"/>
          <w:szCs w:val="24"/>
          <w:lang w:val="en-US"/>
        </w:rPr>
        <w:t>http: //www.uis unesco org / PagesAdefault aspx.</w:t>
      </w:r>
    </w:p>
    <w:p w:rsidR="006870DD" w:rsidRPr="00656B5B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70DD" w:rsidRPr="007C2472" w:rsidRDefault="006870DD" w:rsidP="006870DD">
      <w:pPr>
        <w:pBdr>
          <w:between w:val="single" w:sz="12" w:space="1" w:color="DBE5F1" w:themeColor="accent1" w:themeTint="33"/>
        </w:pBd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Ссылки: 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D42C2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оля шк</w:t>
      </w:r>
      <w:r>
        <w:rPr>
          <w:rFonts w:ascii="Times New Roman" w:eastAsia="Times New Roman" w:hAnsi="Times New Roman" w:cs="Times New Roman"/>
          <w:sz w:val="24"/>
          <w:szCs w:val="24"/>
        </w:rPr>
        <w:t>ол с доступом к электричеству, и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нтернет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для педагогических целей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наличием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компьютеров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педагогического целей: 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>см. В Руковод</w:t>
      </w:r>
      <w:r>
        <w:rPr>
          <w:rFonts w:ascii="Times New Roman" w:eastAsia="Times New Roman" w:hAnsi="Times New Roman" w:cs="Times New Roman"/>
          <w:sz w:val="24"/>
          <w:szCs w:val="24"/>
        </w:rPr>
        <w:t>стве по измерению информационным и коммуникационным технологиям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(ICTI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в образовании, Технический док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умент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UIS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№ 2.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53152E">
        <w:rPr>
          <w:rFonts w:ascii="Times New Roman" w:eastAsia="Times New Roman" w:hAnsi="Times New Roman" w:cs="Times New Roman"/>
          <w:b/>
          <w:sz w:val="24"/>
          <w:szCs w:val="24"/>
        </w:rPr>
        <w:t>Показатели мониторинга WASH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70DD" w:rsidRPr="00E32A67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32A67">
          <w:rPr>
            <w:rStyle w:val="Hyperlink"/>
            <w:rFonts w:ascii="Times New Roman" w:hAnsi="Times New Roman" w:cs="Times New Roman"/>
            <w:sz w:val="24"/>
            <w:szCs w:val="24"/>
          </w:rPr>
          <w:t>http://www.unicef.org/wash/files/4_WSSCC_JMP_Fact_Sheets_4_UK_LoRes.pdf</w:t>
        </w:r>
      </w:hyperlink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</w:p>
    <w:p w:rsidR="006870DD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ИСЮ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Анкеты по статистике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информационных и коммуникационных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152E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образования и Региональный модуль для Африки: </w:t>
      </w:r>
    </w:p>
    <w:p w:rsidR="006870DD" w:rsidRPr="00E32A67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32A67">
          <w:rPr>
            <w:rStyle w:val="Hyperlink"/>
            <w:rFonts w:ascii="Times New Roman" w:hAnsi="Times New Roman" w:cs="Times New Roman"/>
            <w:sz w:val="24"/>
            <w:szCs w:val="24"/>
          </w:rPr>
          <w:t>http://www.uis.unesco.org/UISQuestionnaires/Pages/default.aspx</w:t>
        </w:r>
      </w:hyperlink>
      <w:r w:rsidRPr="00E32A67">
        <w:rPr>
          <w:rFonts w:ascii="Times New Roman" w:hAnsi="Times New Roman" w:cs="Times New Roman"/>
          <w:sz w:val="24"/>
          <w:szCs w:val="24"/>
        </w:rPr>
        <w:t>.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</w:p>
    <w:p w:rsidR="006870DD" w:rsidRPr="007C2472" w:rsidRDefault="006870DD" w:rsidP="006870DD">
      <w:pPr>
        <w:pBdr>
          <w:between w:val="single" w:sz="12" w:space="1" w:color="DBE5F1" w:themeColor="accent1" w:themeTint="33"/>
        </w:pBd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</w:pPr>
      <w:r w:rsidRPr="007C247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вязанные</w:t>
      </w:r>
      <w:r w:rsidRPr="007C247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 xml:space="preserve"> индикаторы </w:t>
      </w: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70DD" w:rsidRPr="00D42C2A" w:rsidRDefault="006870DD" w:rsidP="006870DD">
      <w:pPr>
        <w:shd w:val="clear" w:color="auto" w:fill="FFFFFF"/>
        <w:spacing w:after="60" w:line="240" w:lineRule="auto"/>
        <w:textAlignment w:val="bottom"/>
        <w:rPr>
          <w:rFonts w:ascii="Times New Roman" w:hAnsi="Times New Roman" w:cs="Times New Roman"/>
          <w:sz w:val="24"/>
          <w:szCs w:val="24"/>
        </w:rPr>
      </w:pPr>
      <w:r w:rsidRPr="00D42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6-1, 6.2,7.1,9.c, 17.8</w:t>
      </w:r>
    </w:p>
    <w:p w:rsidR="0053152E" w:rsidRPr="006870DD" w:rsidRDefault="0053152E" w:rsidP="006870DD">
      <w:bookmarkStart w:id="0" w:name="_GoBack"/>
      <w:bookmarkEnd w:id="0"/>
    </w:p>
    <w:sectPr w:rsidR="0053152E" w:rsidRPr="006870DD" w:rsidSect="00CC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2A8"/>
    <w:multiLevelType w:val="multilevel"/>
    <w:tmpl w:val="AE8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66269"/>
    <w:multiLevelType w:val="multilevel"/>
    <w:tmpl w:val="793E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44E2A"/>
    <w:multiLevelType w:val="hybridMultilevel"/>
    <w:tmpl w:val="E708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F4998"/>
    <w:multiLevelType w:val="multilevel"/>
    <w:tmpl w:val="330C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532E9"/>
    <w:multiLevelType w:val="multilevel"/>
    <w:tmpl w:val="A3A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B1B0D"/>
    <w:multiLevelType w:val="hybridMultilevel"/>
    <w:tmpl w:val="FE4C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52E"/>
    <w:rsid w:val="00201145"/>
    <w:rsid w:val="00227F16"/>
    <w:rsid w:val="002455C2"/>
    <w:rsid w:val="00245708"/>
    <w:rsid w:val="002A4A5E"/>
    <w:rsid w:val="00305768"/>
    <w:rsid w:val="00310285"/>
    <w:rsid w:val="003A4130"/>
    <w:rsid w:val="003B0901"/>
    <w:rsid w:val="003D2622"/>
    <w:rsid w:val="003D59D5"/>
    <w:rsid w:val="004B0620"/>
    <w:rsid w:val="004C215C"/>
    <w:rsid w:val="005124DB"/>
    <w:rsid w:val="00525C44"/>
    <w:rsid w:val="00530B9B"/>
    <w:rsid w:val="0053152E"/>
    <w:rsid w:val="00656B5B"/>
    <w:rsid w:val="006870DD"/>
    <w:rsid w:val="007C2472"/>
    <w:rsid w:val="008B3954"/>
    <w:rsid w:val="009C101B"/>
    <w:rsid w:val="00AB4F70"/>
    <w:rsid w:val="00C553C4"/>
    <w:rsid w:val="00C74FF9"/>
    <w:rsid w:val="00C95105"/>
    <w:rsid w:val="00CC3598"/>
    <w:rsid w:val="00D01DFA"/>
    <w:rsid w:val="00D42C2A"/>
    <w:rsid w:val="00D866A0"/>
    <w:rsid w:val="00E32A67"/>
    <w:rsid w:val="00F9462E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indlabel">
    <w:name w:val="blind_label"/>
    <w:basedOn w:val="DefaultParagraphFont"/>
    <w:rsid w:val="0053152E"/>
  </w:style>
  <w:style w:type="character" w:styleId="Hyperlink">
    <w:name w:val="Hyperlink"/>
    <w:basedOn w:val="DefaultParagraphFont"/>
    <w:uiPriority w:val="99"/>
    <w:unhideWhenUsed/>
    <w:rsid w:val="005315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305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548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0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2108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393116728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14253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1823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5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4565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1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208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2798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3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12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1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0034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67622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530606311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4940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815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2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0172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69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s.unesco.org/UISQuestionnaires/Pages/default.aspx" TargetMode="External"/><Relationship Id="rId5" Type="http://schemas.openxmlformats.org/officeDocument/2006/relationships/hyperlink" Target="http://www.unicef.org/wash/files/4_WSSCC_JMP_Fact_Sheets_4_UK_LoR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</cp:revision>
  <dcterms:created xsi:type="dcterms:W3CDTF">2017-09-14T13:10:00Z</dcterms:created>
  <dcterms:modified xsi:type="dcterms:W3CDTF">2021-08-19T10:42:00Z</dcterms:modified>
</cp:coreProperties>
</file>