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55" w:rsidRPr="0088495C" w:rsidRDefault="005E0355" w:rsidP="005E03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Цель 3: Обеспечение здорового образа жизни и содействие благополучию для всех в любом возрасте</w:t>
      </w:r>
    </w:p>
    <w:p w:rsidR="005E0355" w:rsidRPr="0088495C" w:rsidRDefault="005E0355" w:rsidP="005E03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3.b Оказывать содействие исследованиям и разработкам вакцин 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с Дохинской декларацией «Соглашение по ТРИПС и общественное здравоохранение»,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и, в частности, обеспечения доступа к лекарственным средствам для всех</w:t>
      </w:r>
    </w:p>
    <w:p w:rsidR="005E0355" w:rsidRPr="0088495C" w:rsidRDefault="005E0355" w:rsidP="005E03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3.b.1 Доля целевой группы населения, охваченная иммунизацией всеми вакцинами, включенными в национальные программы</w:t>
      </w: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Организация(и):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 xml:space="preserve">Всемирная организация здравоохранения (ВОЗ), 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Детский фонд Организации Объединенных Наций (ЮНИСЕФ)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i/>
          <w:sz w:val="24"/>
          <w:szCs w:val="24"/>
        </w:rPr>
        <w:t>Охват АКДС (</w:t>
      </w:r>
      <w:r w:rsidRPr="0088495C">
        <w:rPr>
          <w:rFonts w:ascii="Times New Roman" w:hAnsi="Times New Roman" w:cs="Times New Roman"/>
          <w:i/>
          <w:sz w:val="24"/>
          <w:szCs w:val="24"/>
          <w:lang w:val="en-US"/>
        </w:rPr>
        <w:t>DTP</w:t>
      </w:r>
      <w:r w:rsidRPr="0088495C">
        <w:rPr>
          <w:rFonts w:ascii="Times New Roman" w:hAnsi="Times New Roman" w:cs="Times New Roman"/>
          <w:i/>
          <w:sz w:val="24"/>
          <w:szCs w:val="24"/>
        </w:rPr>
        <w:t>) вакциной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95C">
        <w:rPr>
          <w:rFonts w:ascii="Times New Roman" w:hAnsi="Times New Roman" w:cs="Times New Roman"/>
          <w:i/>
          <w:sz w:val="24"/>
          <w:szCs w:val="24"/>
        </w:rPr>
        <w:t>(от дифтерии, столбняка и коклюша) (3-х дозовая):</w:t>
      </w:r>
      <w:r w:rsidRPr="0088495C">
        <w:rPr>
          <w:rFonts w:ascii="Times New Roman" w:hAnsi="Times New Roman" w:cs="Times New Roman"/>
          <w:sz w:val="24"/>
          <w:szCs w:val="24"/>
        </w:rPr>
        <w:t xml:space="preserve"> Процент выживших младенцев, которые получили 3 дозы этой вакцины в конкретном году.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i/>
          <w:sz w:val="24"/>
          <w:szCs w:val="24"/>
        </w:rPr>
        <w:t>Охват вакциной против кори (</w:t>
      </w:r>
      <w:r w:rsidRPr="0088495C">
        <w:rPr>
          <w:rFonts w:ascii="Times New Roman" w:hAnsi="Times New Roman" w:cs="Times New Roman"/>
          <w:i/>
          <w:sz w:val="24"/>
          <w:szCs w:val="24"/>
          <w:lang w:val="en-US"/>
        </w:rPr>
        <w:t>MCV</w:t>
      </w:r>
      <w:r w:rsidRPr="0088495C">
        <w:rPr>
          <w:rFonts w:ascii="Times New Roman" w:hAnsi="Times New Roman" w:cs="Times New Roman"/>
          <w:i/>
          <w:sz w:val="24"/>
          <w:szCs w:val="24"/>
        </w:rPr>
        <w:t>) (2-х дозовая):</w:t>
      </w:r>
      <w:r w:rsidRPr="0088495C">
        <w:rPr>
          <w:rFonts w:ascii="Times New Roman" w:hAnsi="Times New Roman" w:cs="Times New Roman"/>
          <w:sz w:val="24"/>
          <w:szCs w:val="24"/>
        </w:rPr>
        <w:t xml:space="preserve"> Процент детей, которые получили две дозы вакцины, содержащей корь, согласно национально рекомендованному графику услуг по иммунизации.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i/>
          <w:sz w:val="24"/>
          <w:szCs w:val="24"/>
        </w:rPr>
        <w:t>Охват Пневмококковой конъюгированной вакциной (</w:t>
      </w:r>
      <w:r w:rsidRPr="0088495C">
        <w:rPr>
          <w:rFonts w:ascii="Times New Roman" w:hAnsi="Times New Roman" w:cs="Times New Roman"/>
          <w:i/>
          <w:sz w:val="24"/>
          <w:szCs w:val="24"/>
          <w:lang w:val="en-US"/>
        </w:rPr>
        <w:t>PCV</w:t>
      </w:r>
      <w:r w:rsidRPr="0088495C">
        <w:rPr>
          <w:rFonts w:ascii="Times New Roman" w:hAnsi="Times New Roman" w:cs="Times New Roman"/>
          <w:i/>
          <w:sz w:val="24"/>
          <w:szCs w:val="24"/>
        </w:rPr>
        <w:t>) (последняя доза по расписанию):</w:t>
      </w:r>
      <w:r w:rsidRPr="0088495C">
        <w:rPr>
          <w:rFonts w:ascii="Times New Roman" w:hAnsi="Times New Roman" w:cs="Times New Roman"/>
          <w:sz w:val="24"/>
          <w:szCs w:val="24"/>
        </w:rPr>
        <w:t xml:space="preserve"> Процент выживших младенцев, получивших рекомендованные дозы пневмококковой конъюгатной вакцины.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i/>
          <w:sz w:val="24"/>
          <w:szCs w:val="24"/>
        </w:rPr>
        <w:t>Охват вакциной против ВПЧ (</w:t>
      </w:r>
      <w:r w:rsidRPr="0088495C">
        <w:rPr>
          <w:rFonts w:ascii="Times New Roman" w:hAnsi="Times New Roman" w:cs="Times New Roman"/>
          <w:i/>
          <w:sz w:val="24"/>
          <w:szCs w:val="24"/>
          <w:lang w:val="en-US"/>
        </w:rPr>
        <w:t>HPV</w:t>
      </w:r>
      <w:r w:rsidRPr="0088495C">
        <w:rPr>
          <w:rFonts w:ascii="Times New Roman" w:hAnsi="Times New Roman" w:cs="Times New Roman"/>
          <w:i/>
          <w:sz w:val="24"/>
          <w:szCs w:val="24"/>
        </w:rPr>
        <w:t>) (вирус папилломы человека) (последняя доза по расписанию):</w:t>
      </w:r>
      <w:r w:rsidRPr="0088495C">
        <w:rPr>
          <w:rFonts w:ascii="Times New Roman" w:hAnsi="Times New Roman" w:cs="Times New Roman"/>
          <w:sz w:val="24"/>
          <w:szCs w:val="24"/>
        </w:rPr>
        <w:t xml:space="preserve"> Процент девушек в возрасте 15 лет получивших рекомендованные дозы вакцины против ВПЧ.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 xml:space="preserve">Этот показатель направлен на измерение доступа к вакцинам, включая доступные с недавних пор или недостаточно используемые вакцины, на национальном уровне. В последние десятилетия все страны добавили многочисленные новые и недоиспользуемые вакцины в свой национальный график иммунизации, и к 2030 году будет введено ещё несколько вакцин на заключительном этапе разработки программы. Для мониторинга заболеваний и воздействия вакцин важно измерить охват каждой вакциной в национальном графике иммунизации, и такая система уже существует для всех </w:t>
      </w:r>
      <w:r w:rsidRPr="0088495C">
        <w:rPr>
          <w:rFonts w:ascii="Times New Roman" w:hAnsi="Times New Roman" w:cs="Times New Roman"/>
          <w:sz w:val="24"/>
          <w:szCs w:val="24"/>
        </w:rPr>
        <w:lastRenderedPageBreak/>
        <w:t>национальных программ, однако прямые измерения доли населения, охваченного всеми вакцинами в программе, возможны только если в стране имеется хорошо функционирующий национальный номинальный реестр иммунизации, обычно электронный, который позволит легко оценить этот охват. Хотя страны будут разрабатывать и укреплять регистры иммунизации, необходимо провести альтернативные измерения.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70ED4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 xml:space="preserve">В соответствии со своим мандатом по предоставлению руководящих указаний государствам-членам по вопросам политики в области здравоохранения, ВОЗ предоставляет глобальные рекомендации по вакцинации и иммунизации болезней, оказывающие международное влияние на общественное здравоохранение. Национальные программы адаптируют рекомендации и разрабатывают национальные графики иммунизации на основе местной эпидемиологии болезней и национальных приоритетов в области здравоохранения. Национальные графики иммунизации и количество рекомендуемых вакцин варьируются между странами, причём во всех странах обязательно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Pr="0088495C">
        <w:rPr>
          <w:rFonts w:ascii="Times New Roman" w:hAnsi="Times New Roman" w:cs="Times New Roman"/>
          <w:sz w:val="24"/>
          <w:szCs w:val="24"/>
        </w:rPr>
        <w:t>тся вакцины АКДС, против полиомиелита и кори.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Целевое население, нуждающееся в вакцинации, определяется на основе рекомендуемого возраста её проведения. Первичная серия вакцинации большинства вакцин проводится в первые два года жизни.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Охват АКДС вакциной:</w:t>
      </w:r>
      <w:r w:rsidRPr="008849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495C">
        <w:rPr>
          <w:rFonts w:ascii="Times New Roman" w:hAnsi="Times New Roman" w:cs="Times New Roman"/>
          <w:sz w:val="24"/>
          <w:szCs w:val="24"/>
        </w:rPr>
        <w:t>измерение системы получения вакцины младенцами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 xml:space="preserve">Охват вакциной против кори </w:t>
      </w:r>
      <w:r w:rsidRPr="0088495C">
        <w:rPr>
          <w:rFonts w:ascii="Times New Roman" w:hAnsi="Times New Roman" w:cs="Times New Roman"/>
          <w:sz w:val="24"/>
          <w:szCs w:val="24"/>
        </w:rPr>
        <w:t>возможность получить вакцину в первый год жизни по плановым услугам иммунизации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 xml:space="preserve">Охват Пневмококковой конъюгированной вакциной: </w:t>
      </w:r>
      <w:r w:rsidRPr="0088495C">
        <w:rPr>
          <w:rFonts w:ascii="Times New Roman" w:hAnsi="Times New Roman" w:cs="Times New Roman"/>
          <w:sz w:val="24"/>
          <w:szCs w:val="24"/>
        </w:rPr>
        <w:t>адаптация новых вакцин для детей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 xml:space="preserve">Охват вакциной против ВПЧ: </w:t>
      </w:r>
      <w:r w:rsidRPr="0088495C">
        <w:rPr>
          <w:rFonts w:ascii="Times New Roman" w:hAnsi="Times New Roman" w:cs="Times New Roman"/>
          <w:sz w:val="24"/>
          <w:szCs w:val="24"/>
        </w:rPr>
        <w:t>вакцинация на весь жизненный цикл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Рациональный выбор набора вакцин отражает способность программ иммунизации предоставлять вакцины в течение жизненного цикла и адаптировать новые вакцины. Охват другими рекомендованными ВОЗ вакцинами также доступен и может быть предоставлен.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 xml:space="preserve">Учитывая, что вакцина против ВПЧ является относительно новой, а график вакцинации варьируется от страны к стране, то будут сделаны только оценки  для девочек, вакцинированных в возрасте 15 лет, и в настоящий момент данные ограничены очень немногими странами, поэтому </w:t>
      </w:r>
      <w:r>
        <w:rPr>
          <w:rFonts w:ascii="Times New Roman" w:hAnsi="Times New Roman" w:cs="Times New Roman"/>
          <w:sz w:val="24"/>
          <w:szCs w:val="24"/>
        </w:rPr>
        <w:t>составление отчетности</w:t>
      </w:r>
      <w:r w:rsidRPr="0088495C">
        <w:rPr>
          <w:rFonts w:ascii="Times New Roman" w:hAnsi="Times New Roman" w:cs="Times New Roman"/>
          <w:sz w:val="24"/>
          <w:szCs w:val="24"/>
        </w:rPr>
        <w:t xml:space="preserve"> начнется позднее.</w:t>
      </w:r>
    </w:p>
    <w:p w:rsidR="005E0355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5E0355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Методология</w:t>
      </w:r>
      <w:r w:rsidRPr="008849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355" w:rsidRPr="005E0355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Метод расчета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ВОЗ и ЮНИСЕФ совместно разработали методологию оценки национального охвата иммунизацией в отношении отобранных вакцин в 2000 году. Со временем методология была усовершенствована и пересмотрена экспертными комитетами. Она была опубликована, и ссылка доступна в разделе справки. Методология оценивает временные ряды рекомендованных ВОЗ вакцин, данные выпускаются и публикуются ежегодно с 2001 года.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 xml:space="preserve">Методология использует данные, представленные национальными органами </w:t>
      </w:r>
      <w:r w:rsidRPr="00870ED4">
        <w:rPr>
          <w:rFonts w:ascii="Times New Roman" w:hAnsi="Times New Roman" w:cs="Times New Roman"/>
          <w:sz w:val="24"/>
          <w:szCs w:val="24"/>
        </w:rPr>
        <w:t>административных систем стран, а также данные по иммунизации или данные многих показателей из результатов исследований домашних хозяйств.</w:t>
      </w: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Географическое положение, то есть региональные и национальные и потенциально субнациональные оценки.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бработка отсутствующих значений</w:t>
      </w:r>
    </w:p>
    <w:p w:rsidR="005E0355" w:rsidRPr="0088495C" w:rsidRDefault="005E0355" w:rsidP="005E0355">
      <w:pPr>
        <w:pStyle w:val="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• На уровне страны: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Первый отсчет данных - первый отчетный год после введения вакцины. Если данные для страны недоступны, интерполяция проводится между двумя точками данных и экстраполируется из последнего доступного отчета о данных.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• На региональном и глобальном уровнях: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Любое требуемое вменение делается на уровне страны. Эти страновые значения затем могут использоваться для расчета региональных и глобальных</w:t>
      </w:r>
      <w:r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Pr="0088495C">
        <w:rPr>
          <w:rFonts w:ascii="Times New Roman" w:hAnsi="Times New Roman" w:cs="Times New Roman"/>
          <w:sz w:val="24"/>
          <w:szCs w:val="24"/>
        </w:rPr>
        <w:t>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Средневзвешенное значение показателей охвата на страновом уровне, где весовыми коэффициентами являются целевые размеры населения страны на основе мировых демографических перспектив: пересмотрен в 2017 году Отделом народонаселения ООН. Все страны региона включены.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Страны часто передают охват административных систем данных, а ВОЗ и ЮНИСЕФ проводят обзор и оценку данных из разных источников, включая административные системы и исследования. Различия между оценками подготовленными странами и международными организациями объясняются главным образом различиями охвата административной системы и результатами опроса.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Если вакцина не включена в национальный график иммунизации, охват частного сектора не будет отражен.</w:t>
      </w:r>
    </w:p>
    <w:p w:rsidR="005E0355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0355" w:rsidRPr="00870ED4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D4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lastRenderedPageBreak/>
        <w:t>Национальные информационные системы здравоохранения или национальные системы иммунизации, Национальные реестры иммунизации, высококачественные исследования домашних хозяйств с модулем иммунизации (например, DHS, MICS, национальные исследования внутри страны).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 сбора 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Ежегодный сбор данных по определённому механизму. Начиная с 1998 года, в целях укрепления сотрудничества и сведения к минимуму бремени отчетности, ВОЗ и ЮНИСЕФ совместно собирают информацию посредством стандартного вопросника (совместной формы отчетности), направленного всем государствам-членам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immunization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monitoring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surveillance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routine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reporting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Описание: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Данные охвата  различными вакцинами собираются ежегодно и рассматриваются экспертной группой ВОЗ и ЮНИСЕФ, оценки даются ежегодно по каждой стране. Данные публикуются как на веб-сайтах ВОЗ, так и на ЮНИСЕФ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immunization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monitoring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surveillance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routine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coverage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4.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unicef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child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health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immunization</w:t>
        </w:r>
      </w:hyperlink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Охват 2016 года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DTP</w:t>
            </w: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MCV2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PCV last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86%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Австралия и Новая Зеландия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Центральная и Южная Азия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87%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Восточная и Юго-Восточная Азия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Латинская Америка и Карибский бассейн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Северная Америка и Европа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75%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Африка к Югу от Сахары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73%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5E0355" w:rsidRPr="0088495C" w:rsidTr="00B87F9E">
        <w:tc>
          <w:tcPr>
            <w:tcW w:w="4928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Западная Азия и Северная Африка (M49)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1559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525" w:type="dxa"/>
          </w:tcPr>
          <w:p w:rsidR="005E0355" w:rsidRPr="0088495C" w:rsidRDefault="005E0355" w:rsidP="00B87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5C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Ежегодный сбор данных март-май каждый год. Ежегодная консультация в июне.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данных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15 июля каждого года для временного ряда с 1980 до года выпуска за вычетом 1 года. (в июле 2017 года с 1980 по 2016 год)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Министерства здравоохранения, программы по иммунизации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95C">
        <w:rPr>
          <w:rFonts w:ascii="Times New Roman" w:hAnsi="Times New Roman" w:cs="Times New Roman"/>
          <w:b/>
          <w:sz w:val="24"/>
          <w:szCs w:val="24"/>
        </w:rPr>
        <w:t>Составители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ВОЗ и ЮНИСЕФ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88495C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URL: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http://www.who.int/immunization/monitoring_surveillance/routine/coverage/en/index4.html</w:t>
        </w:r>
      </w:hyperlink>
      <w:r w:rsidRPr="00884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</w:rPr>
          <w:t>https://www.unicef.org/immunization/</w:t>
        </w:r>
      </w:hyperlink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55" w:rsidRPr="005E0355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ED4">
        <w:rPr>
          <w:rFonts w:ascii="Times New Roman" w:hAnsi="Times New Roman" w:cs="Times New Roman"/>
          <w:sz w:val="24"/>
          <w:szCs w:val="24"/>
        </w:rPr>
        <w:t>Ссылки</w:t>
      </w:r>
    </w:p>
    <w:p w:rsidR="005E0355" w:rsidRPr="005E0355" w:rsidRDefault="005E0355" w:rsidP="005E0355">
      <w:pPr>
        <w:pStyle w:val="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>Burton A, Monasch R, Lautenbach B, Gacic-Dobo M, Neill M, Karimov R, Wolfson L, Jones G, Birmingham M. WHO and UNICEF estimates of national infant immunization coverage: methods and processes. Bull</w:t>
      </w:r>
      <w:r w:rsidRPr="00870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495C">
        <w:rPr>
          <w:rFonts w:ascii="Times New Roman" w:hAnsi="Times New Roman" w:cs="Times New Roman"/>
          <w:sz w:val="24"/>
          <w:szCs w:val="24"/>
          <w:lang w:val="en-US"/>
        </w:rPr>
        <w:t xml:space="preserve">World Health Organ. 2009;87(7):535-41.Available at: </w:t>
      </w: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bulletin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volumes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/87/7/08-053819/</w:t>
        </w:r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870ED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Pr="00870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>Burton A, Kowalski R, Gacic-Dobo M, Karimov R, Brown D. A Formal Representation of the WHO and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>UNICEF Estimates of National Immunization Coverage: A Computational Logic Approach. PLoS ONE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>2012;7(10): e47806. doi:10.1371/journal.pone.0047806. Available at:</w:t>
      </w: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http://www.ncbi.nlm.nih.gov/pmc/articles/PMC3485034/pdf/pone.0047806.pdf</w:t>
        </w:r>
      </w:hyperlink>
      <w:r w:rsidRPr="00884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>Brown D, Burton A, Gacic-Dobo M, Karimov R An Introduction to the Grade of Confidence in the WHO</w:t>
      </w:r>
    </w:p>
    <w:p w:rsidR="005E0355" w:rsidRPr="00870ED4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 xml:space="preserve">and UNICEF Estimates of National Immunization Coverage The Open Public Health Journal, 2013, 6, 73-76. </w:t>
      </w:r>
    </w:p>
    <w:p w:rsidR="005E0355" w:rsidRPr="00315656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5C">
        <w:rPr>
          <w:rFonts w:ascii="Times New Roman" w:hAnsi="Times New Roman" w:cs="Times New Roman"/>
          <w:sz w:val="24"/>
          <w:szCs w:val="24"/>
          <w:lang w:val="en-US"/>
        </w:rPr>
        <w:t xml:space="preserve">Available at: </w:t>
      </w:r>
      <w:hyperlink r:id="rId11" w:history="1">
        <w:r w:rsidRPr="00884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http://www.benthamscience.com/open/tophj/articles/V006/73TOPHJ.pdf</w:t>
        </w:r>
      </w:hyperlink>
      <w:r w:rsidRPr="00884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0355" w:rsidRPr="00315656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355" w:rsidRPr="0088495C" w:rsidRDefault="005E0355" w:rsidP="005E0355">
      <w:pPr>
        <w:pStyle w:val="a0"/>
        <w:spacing w:line="276" w:lineRule="auto"/>
        <w:jc w:val="both"/>
        <w:rPr>
          <w:rFonts w:ascii="Times New Roman" w:eastAsia="Arial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88495C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Связанные показатели</w:t>
      </w:r>
    </w:p>
    <w:p w:rsidR="005E0355" w:rsidRPr="0088495C" w:rsidRDefault="005E0355" w:rsidP="005E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5C">
        <w:rPr>
          <w:rFonts w:ascii="Times New Roman" w:hAnsi="Times New Roman" w:cs="Times New Roman"/>
          <w:sz w:val="24"/>
          <w:szCs w:val="24"/>
        </w:rPr>
        <w:t>Целевая задача 3.8 обеспечить универсальное медицинское обслуживание, включая защиту от финансовых рисков, доступ к качественным основным медицинским услугам и доступ к безопасным, эффективным, качественным основным лекарственным средствам и вакцинам для всех. Показатель 3.8.1: охват основными медицинскими услугами (определяется как средний охват основными услугами на основе использования показателей, которые включают в себя репродуктивное, материнское, детское и здоровье новорожденных, инфекционные заболевания, неинфекционные заболевания и возможность доступа к услугам, среди основного и наиболее обездоленного населения)</w:t>
      </w:r>
    </w:p>
    <w:p w:rsidR="00A45AA9" w:rsidRPr="005E0355" w:rsidRDefault="00A45AA9" w:rsidP="005E0355">
      <w:bookmarkStart w:id="0" w:name="_GoBack"/>
      <w:bookmarkEnd w:id="0"/>
    </w:p>
    <w:sectPr w:rsidR="00A45AA9" w:rsidRPr="005E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AFD"/>
    <w:rsid w:val="00050AFD"/>
    <w:rsid w:val="00315656"/>
    <w:rsid w:val="00380BB7"/>
    <w:rsid w:val="00383FC3"/>
    <w:rsid w:val="003D04FE"/>
    <w:rsid w:val="005203BC"/>
    <w:rsid w:val="005E0355"/>
    <w:rsid w:val="00870ED4"/>
    <w:rsid w:val="0088495C"/>
    <w:rsid w:val="008B49DD"/>
    <w:rsid w:val="0096093C"/>
    <w:rsid w:val="00A45AA9"/>
    <w:rsid w:val="00AE30AE"/>
    <w:rsid w:val="00B004E6"/>
    <w:rsid w:val="00B62AB7"/>
    <w:rsid w:val="00BE1B26"/>
    <w:rsid w:val="00C735EF"/>
    <w:rsid w:val="00D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B004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Hyperlink">
    <w:name w:val="Hyperlink"/>
    <w:basedOn w:val="DefaultParagraphFont"/>
    <w:uiPriority w:val="99"/>
    <w:unhideWhenUsed/>
    <w:rsid w:val="00C73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о умолчанию"/>
    <w:rsid w:val="00A45A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immuniza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ho.int/immunization/monitoring_surveillance/routine/coverage/en/index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.unicef.org/child-health/immunization" TargetMode="External"/><Relationship Id="rId11" Type="http://schemas.openxmlformats.org/officeDocument/2006/relationships/hyperlink" Target="http://www.benthamscience.com/open/tophj/articles/V006/73TOPHJ.pdf" TargetMode="External"/><Relationship Id="rId5" Type="http://schemas.openxmlformats.org/officeDocument/2006/relationships/hyperlink" Target="http://www.who.int/immunization/monitoring_surveillance/routine/coverage/en/index4.html" TargetMode="External"/><Relationship Id="rId10" Type="http://schemas.openxmlformats.org/officeDocument/2006/relationships/hyperlink" Target="http://www.ncbi.nlm.nih.gov/pmc/articles/PMC3485034/pdf/pone.0047806.pdf" TargetMode="External"/><Relationship Id="rId4" Type="http://schemas.openxmlformats.org/officeDocument/2006/relationships/hyperlink" Target="http://www.who.int/immunization/monitoring_surveillance/routine/reporting/en/" TargetMode="External"/><Relationship Id="rId9" Type="http://schemas.openxmlformats.org/officeDocument/2006/relationships/hyperlink" Target="http://www.who.int/bulletin/volumes/87/7/08-053819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Комкова Наталья Алексеевна</dc:creator>
  <cp:keywords/>
  <dc:description/>
  <cp:lastModifiedBy>Microsoft Office User</cp:lastModifiedBy>
  <cp:revision>4</cp:revision>
  <dcterms:created xsi:type="dcterms:W3CDTF">2018-04-26T07:36:00Z</dcterms:created>
  <dcterms:modified xsi:type="dcterms:W3CDTF">2021-08-19T10:17:00Z</dcterms:modified>
</cp:coreProperties>
</file>