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B1A" w:rsidRPr="00AF778E" w:rsidRDefault="00823B1A" w:rsidP="00823B1A">
      <w:pPr>
        <w:jc w:val="both"/>
        <w:rPr>
          <w:rFonts w:ascii="Times New Roman" w:hAnsi="Times New Roman" w:cs="Times New Roman"/>
          <w:b/>
          <w:sz w:val="24"/>
          <w:szCs w:val="24"/>
        </w:rPr>
      </w:pPr>
      <w:r w:rsidRPr="00AF778E">
        <w:rPr>
          <w:rFonts w:ascii="Times New Roman" w:hAnsi="Times New Roman" w:cs="Times New Roman"/>
          <w:b/>
          <w:sz w:val="24"/>
          <w:szCs w:val="24"/>
        </w:rPr>
        <w:t>Цель 3. Обеспечение здорового образа жизни и содействие благополучию для всех в любом возрасте</w:t>
      </w:r>
    </w:p>
    <w:p w:rsidR="00823B1A" w:rsidRPr="00AF778E" w:rsidRDefault="00823B1A" w:rsidP="00823B1A">
      <w:pPr>
        <w:jc w:val="both"/>
        <w:rPr>
          <w:rFonts w:ascii="Times New Roman" w:hAnsi="Times New Roman" w:cs="Times New Roman"/>
          <w:b/>
          <w:sz w:val="24"/>
          <w:szCs w:val="24"/>
        </w:rPr>
      </w:pPr>
      <w:r w:rsidRPr="00AF778E">
        <w:rPr>
          <w:rFonts w:ascii="Times New Roman" w:hAnsi="Times New Roman" w:cs="Times New Roman"/>
          <w:b/>
          <w:sz w:val="24"/>
          <w:szCs w:val="24"/>
        </w:rPr>
        <w:t>3.3 К 2030 году положить конец эпидемиям СПИДа, туберкулеза, малярии и тропических болезней, которым не уделяется должного внимания, и обеспечить борьбу с гепатитом, заболеваниями, передаваемыми через воду, и другими инфекционными заболеваниями</w:t>
      </w:r>
    </w:p>
    <w:p w:rsidR="00823B1A" w:rsidRPr="00AF778E" w:rsidRDefault="00823B1A" w:rsidP="00823B1A">
      <w:pPr>
        <w:jc w:val="both"/>
        <w:rPr>
          <w:rFonts w:ascii="Times New Roman" w:hAnsi="Times New Roman" w:cs="Times New Roman"/>
          <w:b/>
          <w:sz w:val="24"/>
          <w:szCs w:val="24"/>
        </w:rPr>
      </w:pPr>
      <w:r w:rsidRPr="00AF778E">
        <w:rPr>
          <w:rFonts w:ascii="Times New Roman" w:hAnsi="Times New Roman" w:cs="Times New Roman"/>
          <w:b/>
          <w:sz w:val="24"/>
          <w:szCs w:val="24"/>
        </w:rPr>
        <w:t>3.3.3 Заболеваемость малярией на 1000 человек</w:t>
      </w:r>
    </w:p>
    <w:p w:rsidR="00823B1A" w:rsidRPr="00AF778E" w:rsidRDefault="00823B1A" w:rsidP="00823B1A">
      <w:pPr>
        <w:jc w:val="both"/>
        <w:rPr>
          <w:rFonts w:ascii="Times New Roman" w:hAnsi="Times New Roman" w:cs="Times New Roman"/>
          <w:b/>
          <w:sz w:val="24"/>
          <w:szCs w:val="24"/>
        </w:rPr>
      </w:pPr>
      <w:r w:rsidRPr="00AF778E">
        <w:rPr>
          <w:rFonts w:ascii="Times New Roman" w:hAnsi="Times New Roman" w:cs="Times New Roman"/>
          <w:b/>
          <w:sz w:val="24"/>
          <w:szCs w:val="24"/>
        </w:rPr>
        <w:t>Институциональная информация</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Организация(и):</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Глобальная программа по малярии во Всемирной организации здравоохранения (ВОЗ)</w:t>
      </w:r>
    </w:p>
    <w:p w:rsidR="00823B1A" w:rsidRPr="00AF778E" w:rsidRDefault="00823B1A" w:rsidP="00823B1A">
      <w:pPr>
        <w:jc w:val="both"/>
        <w:rPr>
          <w:rFonts w:ascii="Times New Roman" w:hAnsi="Times New Roman" w:cs="Times New Roman"/>
          <w:b/>
          <w:sz w:val="24"/>
          <w:szCs w:val="24"/>
        </w:rPr>
      </w:pPr>
      <w:r w:rsidRPr="00AF778E">
        <w:rPr>
          <w:rFonts w:ascii="Times New Roman" w:hAnsi="Times New Roman" w:cs="Times New Roman"/>
          <w:b/>
          <w:sz w:val="24"/>
          <w:szCs w:val="24"/>
        </w:rPr>
        <w:t>Концепции и определения</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Определение:</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Заболеваемость малярией определяется как количество новых случаев малярии на 1000 человек, подвергающихся риску каждый год.</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Обоснование:</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Для измерения тенденции заболеваемости малярией и определить места, где риск заболевания самый высокий. С помощью этой информации программы могут реагировать на необычные тенденции, такие как эпидемии, и направлять ресурсы для наиболее нуждающихся групп населения. Эти данные также служат для информирования о распределении глобальных ресурсов для малярии, например, при определении критериев приемлемости для финансирования Глобального фонда.</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Основные понятия:</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Случай малярии определяются как возникновение малярийной инфекции у человека, которого наличие малярийных паразитов в крови было подтверждено с помощью диагностического теста. Рассматриваемая популяция представляет собой население, которое подвержено риску заболевания.</w:t>
      </w:r>
    </w:p>
    <w:p w:rsidR="00823B1A" w:rsidRPr="00AF778E" w:rsidRDefault="00823B1A" w:rsidP="00823B1A">
      <w:pPr>
        <w:jc w:val="both"/>
        <w:rPr>
          <w:rFonts w:ascii="Times New Roman" w:hAnsi="Times New Roman" w:cs="Times New Roman"/>
          <w:b/>
          <w:sz w:val="24"/>
          <w:szCs w:val="24"/>
        </w:rPr>
      </w:pPr>
      <w:r w:rsidRPr="00AF778E">
        <w:rPr>
          <w:rFonts w:ascii="Times New Roman" w:hAnsi="Times New Roman" w:cs="Times New Roman"/>
          <w:b/>
          <w:sz w:val="24"/>
          <w:szCs w:val="24"/>
        </w:rPr>
        <w:t>Комментарии и ограничения:</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Оценочная заболеваемость может отличаться от уровня заболеваемости, о котором сообщает министерство здравоохранения, на которое могут влиять:</w:t>
      </w:r>
    </w:p>
    <w:p w:rsidR="00823B1A" w:rsidRPr="00AF778E" w:rsidRDefault="00823B1A" w:rsidP="00823B1A">
      <w:pPr>
        <w:pStyle w:val="ListParagraph"/>
        <w:numPr>
          <w:ilvl w:val="0"/>
          <w:numId w:val="1"/>
        </w:numPr>
        <w:jc w:val="both"/>
        <w:rPr>
          <w:rFonts w:ascii="Times New Roman" w:hAnsi="Times New Roman" w:cs="Times New Roman"/>
          <w:sz w:val="24"/>
          <w:szCs w:val="24"/>
        </w:rPr>
      </w:pPr>
      <w:r w:rsidRPr="00AF778E">
        <w:rPr>
          <w:rFonts w:ascii="Times New Roman" w:hAnsi="Times New Roman" w:cs="Times New Roman"/>
          <w:sz w:val="24"/>
          <w:szCs w:val="24"/>
        </w:rPr>
        <w:t>полнота отчетности: количество сообщаемых случаев может быть ниже, чем предполагаемые случаи, если процентная доля медицинских учреждений, сообщающих в месяц, составляет менее 100%</w:t>
      </w:r>
    </w:p>
    <w:p w:rsidR="00823B1A" w:rsidRPr="00AF778E" w:rsidRDefault="00823B1A" w:rsidP="00823B1A">
      <w:pPr>
        <w:pStyle w:val="ListParagraph"/>
        <w:numPr>
          <w:ilvl w:val="0"/>
          <w:numId w:val="1"/>
        </w:numPr>
        <w:jc w:val="both"/>
        <w:rPr>
          <w:rFonts w:ascii="Times New Roman" w:hAnsi="Times New Roman" w:cs="Times New Roman"/>
          <w:sz w:val="24"/>
          <w:szCs w:val="24"/>
        </w:rPr>
      </w:pPr>
      <w:r w:rsidRPr="00AF778E">
        <w:rPr>
          <w:rFonts w:ascii="Times New Roman" w:hAnsi="Times New Roman" w:cs="Times New Roman"/>
          <w:sz w:val="24"/>
          <w:szCs w:val="24"/>
        </w:rPr>
        <w:t>степень диагностического тестирования на малярию (количество просмотренных слайдов или выполнение RDT)</w:t>
      </w:r>
    </w:p>
    <w:p w:rsidR="00823B1A" w:rsidRPr="00AF778E" w:rsidRDefault="00823B1A" w:rsidP="00823B1A">
      <w:pPr>
        <w:pStyle w:val="ListParagraph"/>
        <w:numPr>
          <w:ilvl w:val="0"/>
          <w:numId w:val="1"/>
        </w:numPr>
        <w:jc w:val="both"/>
        <w:rPr>
          <w:rFonts w:ascii="Times New Roman" w:hAnsi="Times New Roman" w:cs="Times New Roman"/>
          <w:sz w:val="24"/>
          <w:szCs w:val="24"/>
        </w:rPr>
      </w:pPr>
      <w:r w:rsidRPr="00AF778E">
        <w:rPr>
          <w:rFonts w:ascii="Times New Roman" w:hAnsi="Times New Roman" w:cs="Times New Roman"/>
          <w:sz w:val="24"/>
          <w:szCs w:val="24"/>
        </w:rPr>
        <w:t>использование частных медицинских учреждений, которые обычно не включаются в системы отчетности.</w:t>
      </w:r>
    </w:p>
    <w:p w:rsidR="00823B1A" w:rsidRPr="00AF778E" w:rsidRDefault="00823B1A" w:rsidP="00823B1A">
      <w:pPr>
        <w:pStyle w:val="ListParagraph"/>
        <w:numPr>
          <w:ilvl w:val="0"/>
          <w:numId w:val="1"/>
        </w:numPr>
        <w:jc w:val="both"/>
        <w:rPr>
          <w:rFonts w:ascii="Times New Roman" w:hAnsi="Times New Roman" w:cs="Times New Roman"/>
          <w:sz w:val="24"/>
          <w:szCs w:val="24"/>
        </w:rPr>
      </w:pPr>
      <w:r w:rsidRPr="00AF778E">
        <w:rPr>
          <w:rFonts w:ascii="Times New Roman" w:hAnsi="Times New Roman" w:cs="Times New Roman"/>
          <w:sz w:val="24"/>
          <w:szCs w:val="24"/>
        </w:rPr>
        <w:lastRenderedPageBreak/>
        <w:t>показатель оценивается только там, где происходит передача малярии.</w:t>
      </w:r>
    </w:p>
    <w:p w:rsidR="00823B1A" w:rsidRPr="00AF778E" w:rsidRDefault="00823B1A" w:rsidP="00823B1A">
      <w:pPr>
        <w:jc w:val="both"/>
        <w:rPr>
          <w:rFonts w:ascii="Times New Roman" w:hAnsi="Times New Roman" w:cs="Times New Roman"/>
          <w:b/>
          <w:sz w:val="24"/>
          <w:szCs w:val="24"/>
        </w:rPr>
      </w:pPr>
      <w:r w:rsidRPr="00AF778E">
        <w:rPr>
          <w:rFonts w:ascii="Times New Roman" w:hAnsi="Times New Roman" w:cs="Times New Roman"/>
          <w:b/>
          <w:sz w:val="24"/>
          <w:szCs w:val="24"/>
        </w:rPr>
        <w:t>Методология:</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Метод расчета:</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Уровень заболеваемости малярией (1) выражается в числе новых случаев на 100 000 человек в год с населением страны, полученным из прогнозов, сделанных Отделом народонаселения ООН, и долей риска, оцененной Национальной программой борьбы с малярией в стране. Более конкретно, страна оценивает, что такое доля высокого риска (</w:t>
      </w:r>
      <w:r w:rsidRPr="00AF778E">
        <w:rPr>
          <w:rFonts w:ascii="Times New Roman" w:hAnsi="Times New Roman" w:cs="Times New Roman"/>
          <w:i/>
          <w:sz w:val="24"/>
          <w:szCs w:val="24"/>
        </w:rPr>
        <w:t>H</w:t>
      </w:r>
      <w:r w:rsidRPr="00AF778E">
        <w:rPr>
          <w:rFonts w:ascii="Times New Roman" w:hAnsi="Times New Roman" w:cs="Times New Roman"/>
          <w:sz w:val="24"/>
          <w:szCs w:val="24"/>
        </w:rPr>
        <w:t>), а какая доля при низком риске (</w:t>
      </w:r>
      <w:r w:rsidRPr="00AF778E">
        <w:rPr>
          <w:rFonts w:ascii="Times New Roman" w:hAnsi="Times New Roman" w:cs="Times New Roman"/>
          <w:i/>
          <w:sz w:val="24"/>
          <w:szCs w:val="24"/>
        </w:rPr>
        <w:t>L</w:t>
      </w:r>
      <w:r w:rsidRPr="00AF778E">
        <w:rPr>
          <w:rFonts w:ascii="Times New Roman" w:hAnsi="Times New Roman" w:cs="Times New Roman"/>
          <w:sz w:val="24"/>
          <w:szCs w:val="24"/>
        </w:rPr>
        <w:t xml:space="preserve">) и подверженная риску населения оценивается как </w:t>
      </w:r>
    </w:p>
    <w:p w:rsidR="00823B1A" w:rsidRPr="00AF778E" w:rsidRDefault="00823B1A" w:rsidP="00823B1A">
      <w:pPr>
        <w:jc w:val="center"/>
        <w:rPr>
          <w:rFonts w:ascii="Times New Roman" w:hAnsi="Times New Roman" w:cs="Times New Roman"/>
          <w:sz w:val="24"/>
          <w:szCs w:val="24"/>
        </w:rPr>
      </w:pPr>
      <w:r w:rsidRPr="00AF778E">
        <w:rPr>
          <w:rFonts w:ascii="Times New Roman" w:hAnsi="Times New Roman" w:cs="Times New Roman"/>
          <w:sz w:val="24"/>
          <w:szCs w:val="24"/>
        </w:rPr>
        <w:t>население ООН * H + население ООН * L/2.</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 xml:space="preserve">Число новых случаев, </w:t>
      </w:r>
      <w:r w:rsidRPr="00AF778E">
        <w:rPr>
          <w:rFonts w:ascii="Times New Roman" w:hAnsi="Times New Roman" w:cs="Times New Roman"/>
          <w:i/>
          <w:sz w:val="24"/>
          <w:szCs w:val="24"/>
        </w:rPr>
        <w:t>М</w:t>
      </w:r>
      <w:r w:rsidRPr="00AF778E">
        <w:rPr>
          <w:rFonts w:ascii="Times New Roman" w:hAnsi="Times New Roman" w:cs="Times New Roman"/>
          <w:sz w:val="24"/>
          <w:szCs w:val="24"/>
        </w:rPr>
        <w:t xml:space="preserve">, оценивается по числу случаев малярии, о которых сообщается Министерством здравоохранения, которое скорректировано с учетом </w:t>
      </w:r>
    </w:p>
    <w:p w:rsidR="00823B1A" w:rsidRPr="00AF778E" w:rsidRDefault="00823B1A" w:rsidP="00823B1A">
      <w:pPr>
        <w:pStyle w:val="ListParagraph"/>
        <w:numPr>
          <w:ilvl w:val="0"/>
          <w:numId w:val="2"/>
        </w:numPr>
        <w:jc w:val="both"/>
        <w:rPr>
          <w:rFonts w:ascii="Times New Roman" w:hAnsi="Times New Roman" w:cs="Times New Roman"/>
          <w:sz w:val="24"/>
          <w:szCs w:val="24"/>
        </w:rPr>
      </w:pPr>
      <w:r w:rsidRPr="00AF778E">
        <w:rPr>
          <w:rFonts w:ascii="Times New Roman" w:hAnsi="Times New Roman" w:cs="Times New Roman"/>
          <w:sz w:val="24"/>
          <w:szCs w:val="24"/>
        </w:rPr>
        <w:t xml:space="preserve">неполноты в системах отчетности </w:t>
      </w:r>
    </w:p>
    <w:p w:rsidR="00823B1A" w:rsidRPr="00AF778E" w:rsidRDefault="00823B1A" w:rsidP="00823B1A">
      <w:pPr>
        <w:pStyle w:val="ListParagraph"/>
        <w:numPr>
          <w:ilvl w:val="0"/>
          <w:numId w:val="2"/>
        </w:numPr>
        <w:jc w:val="both"/>
        <w:rPr>
          <w:rFonts w:ascii="Times New Roman" w:hAnsi="Times New Roman" w:cs="Times New Roman"/>
          <w:sz w:val="24"/>
          <w:szCs w:val="24"/>
        </w:rPr>
      </w:pPr>
      <w:r w:rsidRPr="00AF778E">
        <w:rPr>
          <w:rFonts w:ascii="Times New Roman" w:hAnsi="Times New Roman" w:cs="Times New Roman"/>
          <w:sz w:val="24"/>
          <w:szCs w:val="24"/>
        </w:rPr>
        <w:t xml:space="preserve">пациентов, обращающихся за лечением в частном секторе, самолечения или вообще не обращаются за лечением, и </w:t>
      </w:r>
    </w:p>
    <w:p w:rsidR="00823B1A" w:rsidRPr="00AF778E" w:rsidRDefault="00823B1A" w:rsidP="00823B1A">
      <w:pPr>
        <w:pStyle w:val="ListParagraph"/>
        <w:numPr>
          <w:ilvl w:val="0"/>
          <w:numId w:val="2"/>
        </w:numPr>
        <w:jc w:val="both"/>
        <w:rPr>
          <w:rFonts w:ascii="Times New Roman" w:hAnsi="Times New Roman" w:cs="Times New Roman"/>
          <w:sz w:val="24"/>
          <w:szCs w:val="24"/>
        </w:rPr>
      </w:pPr>
      <w:r w:rsidRPr="00AF778E">
        <w:rPr>
          <w:rFonts w:ascii="Times New Roman" w:hAnsi="Times New Roman" w:cs="Times New Roman"/>
          <w:sz w:val="24"/>
          <w:szCs w:val="24"/>
        </w:rPr>
        <w:t xml:space="preserve">потенциальный чрезмерный диагноз из-за отсутствия лабораторного подтверждения случаев. </w:t>
      </w:r>
    </w:p>
    <w:p w:rsidR="00823B1A" w:rsidRPr="00AF778E"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Процедура, описанная в докладе Всемирной комиссии по малярии за 2008 год (2), объединяет данные, представленные NMCP (сообщенные случаи, полнота отчетности и вероятность того, что в случае возможно положительное присутствие паразитов), с данными, полученными из общенациональных репрезентативных обследований домашних хозяйств по использованию медицинских услуг. Коротко говоря,</w:t>
      </w:r>
    </w:p>
    <w:p w:rsidR="00823B1A" w:rsidRPr="00AF778E" w:rsidRDefault="00823B1A" w:rsidP="00823B1A">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Случаи</m:t>
              </m:r>
            </m:e>
            <m:sub>
              <m:r>
                <w:rPr>
                  <w:rFonts w:ascii="Cambria Math" w:hAnsi="Cambria Math" w:cs="Times New Roman"/>
                  <w:sz w:val="24"/>
                  <w:szCs w:val="24"/>
                </w:rPr>
                <m:t>гос. сектор</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Случаи</m:t>
                  </m:r>
                </m:e>
                <m:sub>
                  <m:r>
                    <w:rPr>
                      <w:rFonts w:ascii="Cambria Math" w:hAnsi="Cambria Math" w:cs="Times New Roman"/>
                      <w:sz w:val="24"/>
                      <w:szCs w:val="24"/>
                    </w:rPr>
                    <m:t>подтвержденные</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Случаи</m:t>
                  </m:r>
                </m:e>
                <m:sub>
                  <m:r>
                    <w:rPr>
                      <w:rFonts w:ascii="Cambria Math" w:hAnsi="Cambria Math" w:cs="Times New Roman"/>
                      <w:sz w:val="24"/>
                      <w:szCs w:val="24"/>
                    </w:rPr>
                    <m:t>предполагаемые</m:t>
                  </m:r>
                </m:sub>
              </m:sSub>
              <m:r>
                <w:rPr>
                  <w:rFonts w:ascii="Cambria Math" w:hAnsi="Cambria Math" w:cs="Times New Roman"/>
                  <w:sz w:val="24"/>
                  <w:szCs w:val="24"/>
                </w:rPr>
                <m:t xml:space="preserve"> ×Положительные результаты теста</m:t>
              </m:r>
            </m:num>
            <m:den>
              <m:r>
                <w:rPr>
                  <w:rFonts w:ascii="Cambria Math" w:hAnsi="Cambria Math" w:cs="Times New Roman"/>
                  <w:sz w:val="24"/>
                  <w:szCs w:val="24"/>
                </w:rPr>
                <m:t>Полнота отчетности</m:t>
              </m:r>
            </m:den>
          </m:f>
          <m:r>
            <w:rPr>
              <w:rFonts w:ascii="Cambria Math" w:hAnsi="Cambria Math" w:cs="Times New Roman"/>
              <w:sz w:val="24"/>
              <w:szCs w:val="24"/>
            </w:rPr>
            <m:t xml:space="preserve">  </m:t>
          </m:r>
        </m:oMath>
      </m:oMathPara>
    </w:p>
    <w:p w:rsidR="00823B1A" w:rsidRPr="00AF778E" w:rsidRDefault="00823B1A" w:rsidP="00823B1A">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Случаи</m:t>
              </m:r>
            </m:e>
            <m:sub>
              <m:r>
                <w:rPr>
                  <w:rFonts w:ascii="Cambria Math" w:hAnsi="Cambria Math" w:cs="Times New Roman"/>
                  <w:sz w:val="24"/>
                  <w:szCs w:val="24"/>
                </w:rPr>
                <m:t>част. сектор</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Случаи</m:t>
                  </m:r>
                </m:e>
                <m:sub>
                  <m:r>
                    <w:rPr>
                      <w:rFonts w:ascii="Cambria Math" w:hAnsi="Cambria Math" w:cs="Times New Roman"/>
                      <w:sz w:val="24"/>
                      <w:szCs w:val="24"/>
                    </w:rPr>
                    <m:t>гос.сектор</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Доля обращающихся за медицинской помощью</m:t>
                  </m:r>
                </m:e>
                <m:sub>
                  <m:r>
                    <w:rPr>
                      <w:rFonts w:ascii="Cambria Math" w:hAnsi="Cambria Math" w:cs="Times New Roman"/>
                      <w:sz w:val="24"/>
                      <w:szCs w:val="24"/>
                    </w:rPr>
                    <m:t>част. сектор</m:t>
                  </m:r>
                </m:sub>
              </m:sSub>
              <m:r>
                <w:rPr>
                  <w:rFonts w:ascii="Cambria Math" w:hAnsi="Cambria Math" w:cs="Times New Roman"/>
                  <w:sz w:val="24"/>
                  <w:szCs w:val="24"/>
                </w:rPr>
                <m:t xml:space="preserve"> </m:t>
              </m:r>
            </m:num>
            <m:den>
              <m:sSub>
                <m:sSubPr>
                  <m:ctrlPr>
                    <w:rPr>
                      <w:rFonts w:ascii="Cambria Math" w:hAnsi="Cambria Math" w:cs="Times New Roman"/>
                      <w:i/>
                      <w:sz w:val="24"/>
                      <w:szCs w:val="24"/>
                    </w:rPr>
                  </m:ctrlPr>
                </m:sSubPr>
                <m:e>
                  <m:r>
                    <w:rPr>
                      <w:rFonts w:ascii="Cambria Math" w:hAnsi="Cambria Math" w:cs="Times New Roman"/>
                      <w:sz w:val="24"/>
                      <w:szCs w:val="24"/>
                    </w:rPr>
                    <m:t>Доля обращающихся за медицинской помощью</m:t>
                  </m:r>
                </m:e>
                <m:sub>
                  <m:r>
                    <w:rPr>
                      <w:rFonts w:ascii="Cambria Math" w:hAnsi="Cambria Math" w:cs="Times New Roman"/>
                      <w:sz w:val="24"/>
                      <w:szCs w:val="24"/>
                    </w:rPr>
                    <m:t>гос. сектор</m:t>
                  </m:r>
                </m:sub>
              </m:sSub>
            </m:den>
          </m:f>
          <m:r>
            <w:rPr>
              <w:rFonts w:ascii="Cambria Math" w:hAnsi="Cambria Math" w:cs="Times New Roman"/>
              <w:sz w:val="24"/>
              <w:szCs w:val="24"/>
            </w:rPr>
            <m:t xml:space="preserve">  </m:t>
          </m:r>
        </m:oMath>
      </m:oMathPara>
    </w:p>
    <w:p w:rsidR="00823B1A" w:rsidRPr="00AF778E" w:rsidRDefault="00823B1A" w:rsidP="00823B1A">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Случаи</m:t>
              </m:r>
            </m:e>
            <m:sub>
              <m:r>
                <w:rPr>
                  <w:rFonts w:ascii="Cambria Math" w:hAnsi="Cambria Math" w:cs="Times New Roman"/>
                  <w:sz w:val="24"/>
                  <w:szCs w:val="24"/>
                </w:rPr>
                <m:t>не обращались за лечением</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Случаи</m:t>
                  </m:r>
                </m:e>
                <m:sub>
                  <m:r>
                    <w:rPr>
                      <w:rFonts w:ascii="Cambria Math" w:hAnsi="Cambria Math" w:cs="Times New Roman"/>
                      <w:sz w:val="24"/>
                      <w:szCs w:val="24"/>
                    </w:rPr>
                    <m:t>гос.сектор</m:t>
                  </m:r>
                </m:sub>
              </m:sSub>
              <m:r>
                <w:rPr>
                  <w:rFonts w:ascii="Cambria Math" w:hAnsi="Cambria Math" w:cs="Times New Roman"/>
                  <w:sz w:val="24"/>
                  <w:szCs w:val="24"/>
                </w:rPr>
                <m:t>+</m:t>
              </m:r>
              <m:r>
                <m:rPr>
                  <m:nor/>
                </m:rPr>
                <w:rPr>
                  <w:rFonts w:ascii="Times New Roman" w:hAnsi="Times New Roman" w:cs="Times New Roman"/>
                  <w:sz w:val="24"/>
                  <w:szCs w:val="24"/>
                </w:rPr>
                <m:t>Доля не обращающихся за медицинской помощью</m:t>
              </m:r>
              <m:r>
                <w:rPr>
                  <w:rFonts w:ascii="Cambria Math" w:hAnsi="Cambria Math" w:cs="Times New Roman"/>
                  <w:sz w:val="24"/>
                  <w:szCs w:val="24"/>
                </w:rPr>
                <m:t xml:space="preserve"> </m:t>
              </m:r>
            </m:num>
            <m:den>
              <m:sSub>
                <m:sSubPr>
                  <m:ctrlPr>
                    <w:rPr>
                      <w:rFonts w:ascii="Cambria Math" w:hAnsi="Cambria Math" w:cs="Times New Roman"/>
                      <w:i/>
                      <w:sz w:val="24"/>
                      <w:szCs w:val="24"/>
                    </w:rPr>
                  </m:ctrlPr>
                </m:sSubPr>
                <m:e>
                  <m:r>
                    <w:rPr>
                      <w:rFonts w:ascii="Cambria Math" w:hAnsi="Cambria Math" w:cs="Times New Roman"/>
                      <w:sz w:val="24"/>
                      <w:szCs w:val="24"/>
                    </w:rPr>
                    <m:t>Доля обращающихся за медицинской помощью</m:t>
                  </m:r>
                </m:e>
                <m:sub>
                  <m:r>
                    <w:rPr>
                      <w:rFonts w:ascii="Cambria Math" w:hAnsi="Cambria Math" w:cs="Times New Roman"/>
                      <w:sz w:val="24"/>
                      <w:szCs w:val="24"/>
                    </w:rPr>
                    <m:t>гос. сектор</m:t>
                  </m:r>
                </m:sub>
              </m:sSub>
            </m:den>
          </m:f>
          <m:r>
            <w:rPr>
              <w:rFonts w:ascii="Cambria Math" w:hAnsi="Cambria Math" w:cs="Times New Roman"/>
              <w:sz w:val="24"/>
              <w:szCs w:val="24"/>
            </w:rPr>
            <m:t xml:space="preserve">  </m:t>
          </m:r>
        </m:oMath>
      </m:oMathPara>
    </w:p>
    <w:p w:rsidR="00823B1A"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Для того, чтобы оценить неопределенность вокруг числа случаев, Положительный результат теста был предположительным, чтобы иметь нормальное распределение по центру по значению Положительного результата теста и стандартное отклонение определяемое как 0,244 × Положительный результат теста</w:t>
      </w:r>
      <w:r w:rsidRPr="00AF778E">
        <w:rPr>
          <w:rFonts w:ascii="Times New Roman" w:hAnsi="Times New Roman" w:cs="Times New Roman"/>
          <w:sz w:val="24"/>
          <w:szCs w:val="24"/>
          <w:vertAlign w:val="superscript"/>
        </w:rPr>
        <w:t xml:space="preserve">0,5547 </w:t>
      </w:r>
      <w:r w:rsidRPr="00AF778E">
        <w:rPr>
          <w:rFonts w:ascii="Times New Roman" w:hAnsi="Times New Roman" w:cs="Times New Roman"/>
          <w:sz w:val="24"/>
          <w:szCs w:val="24"/>
        </w:rPr>
        <w:t xml:space="preserve">и округленное в диапазоне 0,1. Предполагалось, что полнота отчетности будет иметь одно из трех распределений, в зависимости от значения, сообщенного NMCP. Если значение было больше 80%, распределение предполагалось треугольным, с пределами 0,8 и 1 и пиком 0,8. Если значение было больше 50%, тогда распределение предполагалось прямоугольным, с </w:t>
      </w:r>
      <w:r w:rsidRPr="00AF778E">
        <w:rPr>
          <w:rFonts w:ascii="Times New Roman" w:hAnsi="Times New Roman" w:cs="Times New Roman"/>
          <w:sz w:val="24"/>
          <w:szCs w:val="24"/>
        </w:rPr>
        <w:lastRenderedPageBreak/>
        <w:t xml:space="preserve">пределами 0,5 и 0,8. Наконец, если значение было меньше 50%, распределение предполагалось треугольным, с пределами 0 и 0,5, а пик при 0,5 (3). Доля детей, для которых медицинская помощь была запрошена в частном секторе, так и в государственном секторе была предположительной, чтобы получить бета-распределение, причем среднее значение составляет расчетное значение в исследовании и стандартное отклонение рассчитывается из диапазона оцененных доверительных интервалов 95% (CI), деленная на 4. Доля детей, для которых уход не запрашивался, </w:t>
      </w:r>
      <w:r>
        <w:rPr>
          <w:rFonts w:ascii="Times New Roman" w:hAnsi="Times New Roman" w:cs="Times New Roman"/>
          <w:sz w:val="24"/>
          <w:szCs w:val="24"/>
        </w:rPr>
        <w:t xml:space="preserve">предполагала </w:t>
      </w:r>
      <w:r w:rsidRPr="00AF778E">
        <w:rPr>
          <w:rFonts w:ascii="Times New Roman" w:hAnsi="Times New Roman" w:cs="Times New Roman"/>
          <w:sz w:val="24"/>
          <w:szCs w:val="24"/>
        </w:rPr>
        <w:t>прямоугольное распределение с нижним пределом 0 и верхним пределом, рассчитанным как:</w:t>
      </w:r>
    </w:p>
    <w:p w:rsidR="00823B1A" w:rsidRDefault="00823B1A" w:rsidP="00823B1A">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Доля обращ. за мед.помощью</m:t>
              </m:r>
            </m:e>
            <m:sub>
              <m:r>
                <w:rPr>
                  <w:rFonts w:ascii="Cambria Math" w:hAnsi="Cambria Math" w:cs="Times New Roman"/>
                  <w:sz w:val="24"/>
                  <w:szCs w:val="24"/>
                </w:rPr>
                <m:t>гос. сектор</m:t>
              </m:r>
            </m:sub>
          </m:sSub>
          <m:sSub>
            <m:sSubPr>
              <m:ctrlPr>
                <w:rPr>
                  <w:rFonts w:ascii="Cambria Math" w:hAnsi="Cambria Math" w:cs="Times New Roman"/>
                  <w:i/>
                  <w:sz w:val="24"/>
                  <w:szCs w:val="24"/>
                </w:rPr>
              </m:ctrlPr>
            </m:sSubPr>
            <m:e>
              <m:r>
                <w:rPr>
                  <w:rFonts w:ascii="Cambria Math" w:hAnsi="Cambria Math" w:cs="Times New Roman"/>
                  <w:sz w:val="24"/>
                  <w:szCs w:val="24"/>
                </w:rPr>
                <m:t>-Доля обращ. за мед. помощью</m:t>
              </m:r>
            </m:e>
            <m:sub>
              <m:r>
                <w:rPr>
                  <w:rFonts w:ascii="Cambria Math" w:hAnsi="Cambria Math" w:cs="Times New Roman"/>
                  <w:sz w:val="24"/>
                  <w:szCs w:val="24"/>
                </w:rPr>
                <m:t>част. сектор</m:t>
              </m:r>
            </m:sub>
          </m:sSub>
        </m:oMath>
      </m:oMathPara>
    </w:p>
    <w:p w:rsidR="00823B1A" w:rsidRDefault="00823B1A" w:rsidP="00823B1A">
      <w:pPr>
        <w:jc w:val="both"/>
        <w:rPr>
          <w:rFonts w:ascii="Times New Roman" w:hAnsi="Times New Roman" w:cs="Times New Roman"/>
          <w:sz w:val="24"/>
          <w:szCs w:val="24"/>
        </w:rPr>
      </w:pPr>
      <w:r w:rsidRPr="00AF778E">
        <w:rPr>
          <w:rFonts w:ascii="Times New Roman" w:hAnsi="Times New Roman" w:cs="Times New Roman"/>
          <w:sz w:val="24"/>
          <w:szCs w:val="24"/>
        </w:rPr>
        <w:t xml:space="preserve">Значения </w:t>
      </w:r>
      <w:r w:rsidRPr="00172BF5">
        <w:rPr>
          <w:rFonts w:ascii="Times New Roman" w:hAnsi="Times New Roman" w:cs="Times New Roman"/>
          <w:i/>
          <w:sz w:val="24"/>
          <w:szCs w:val="24"/>
        </w:rPr>
        <w:t>доли обращающихся за медицинской помощью</w:t>
      </w:r>
      <w:r w:rsidRPr="00AF778E">
        <w:rPr>
          <w:rFonts w:ascii="Times New Roman" w:hAnsi="Times New Roman" w:cs="Times New Roman"/>
          <w:sz w:val="24"/>
          <w:szCs w:val="24"/>
        </w:rPr>
        <w:t xml:space="preserve"> были линейно интерполированы между годами, в которых проводился опрос, и были экстраполированы за годы до первого или после последнего обследования. Отсутствующие значения для распределений были вменены с использованием смеси распределения страны с равной вероятностью за годы, в которых были представлены ценности, или, если в течение какого-либо года в стране не было никакой ценности, смесь распределения региона за этот год. Данные были проанализированы с использованием статистического программного обеспечения R (4).</w:t>
      </w:r>
      <w:r>
        <w:rPr>
          <w:rFonts w:ascii="Times New Roman" w:hAnsi="Times New Roman" w:cs="Times New Roman"/>
          <w:sz w:val="24"/>
          <w:szCs w:val="24"/>
        </w:rPr>
        <w:t xml:space="preserve"> </w:t>
      </w:r>
      <w:r w:rsidRPr="00172BF5">
        <w:rPr>
          <w:rFonts w:ascii="Times New Roman" w:hAnsi="Times New Roman" w:cs="Times New Roman"/>
          <w:sz w:val="24"/>
          <w:szCs w:val="24"/>
        </w:rPr>
        <w:t>Свертка распределений производится с использованием пакета «Предел» (5,6)</w:t>
      </w:r>
      <w:r>
        <w:rPr>
          <w:rFonts w:ascii="Times New Roman" w:hAnsi="Times New Roman" w:cs="Times New Roman"/>
          <w:sz w:val="24"/>
          <w:szCs w:val="24"/>
        </w:rPr>
        <w:t xml:space="preserve"> (</w:t>
      </w:r>
      <w:r w:rsidRPr="00172BF5">
        <w:rPr>
          <w:rFonts w:ascii="Times New Roman" w:hAnsi="Times New Roman" w:cs="Times New Roman"/>
          <w:sz w:val="24"/>
          <w:szCs w:val="24"/>
        </w:rPr>
        <w:t>Афганистан, Ангола, Армения, Азербайджан, Бангладеш, Боливия (Многонациональное Государство), Ботсвана, Бразилия, Буркина-Фасо, Бурунди, Камбоджа, Колумбия, Доминиканская Республика, Эфиопия, Гайана, Гватемала, Гвинея-Бисау, Гайана, Гондурас, Индонезия, Кыргызстан, Лаосская Народно-Демократическая Республика, Либерия, Мадагаскар, Мавритания, Майотта, Мьянма, Намибия, Непал, Никарагуа, Пакистан, Панама, Папуа-Новая Гвинея, Перу, Руанда, Сенегал, Сьерра-Леоне, Соломоновы Острова, Шри-Ланка, Таджикистан, Тимор-Лешти, Турция, Туркменистан, Уганда, Объединенная Республика Танзания, Узбекистан, Вануату, Венесуэла (Боливарианская Республика), Вьетнам, Йемен и Зимбабве).</w:t>
      </w:r>
      <w:r w:rsidRPr="00172BF5">
        <w:t xml:space="preserve"> </w:t>
      </w:r>
      <w:r w:rsidRPr="00172BF5">
        <w:rPr>
          <w:rFonts w:ascii="Times New Roman" w:hAnsi="Times New Roman" w:cs="Times New Roman"/>
          <w:sz w:val="24"/>
          <w:szCs w:val="24"/>
        </w:rPr>
        <w:t xml:space="preserve">Для Индии </w:t>
      </w:r>
      <w:r>
        <w:rPr>
          <w:rFonts w:ascii="Times New Roman" w:hAnsi="Times New Roman" w:cs="Times New Roman"/>
          <w:sz w:val="24"/>
          <w:szCs w:val="24"/>
        </w:rPr>
        <w:t>значения</w:t>
      </w:r>
      <w:r w:rsidRPr="00172BF5">
        <w:rPr>
          <w:rFonts w:ascii="Times New Roman" w:hAnsi="Times New Roman" w:cs="Times New Roman"/>
          <w:sz w:val="24"/>
          <w:szCs w:val="24"/>
        </w:rPr>
        <w:t xml:space="preserve"> оцениваются на субнациональном уровне, но приспосабливают частный сектор к дополнительному фактору из-за активного выявления случаев.</w:t>
      </w:r>
    </w:p>
    <w:p w:rsidR="00823B1A" w:rsidRDefault="00823B1A" w:rsidP="00823B1A">
      <w:pPr>
        <w:jc w:val="both"/>
        <w:rPr>
          <w:rFonts w:ascii="Times New Roman" w:hAnsi="Times New Roman" w:cs="Times New Roman"/>
          <w:sz w:val="24"/>
          <w:szCs w:val="24"/>
        </w:rPr>
      </w:pPr>
      <w:r w:rsidRPr="00172BF5">
        <w:rPr>
          <w:rFonts w:ascii="Times New Roman" w:hAnsi="Times New Roman" w:cs="Times New Roman"/>
          <w:sz w:val="24"/>
          <w:szCs w:val="24"/>
        </w:rPr>
        <w:t>Для некоторых африканских стран с высоким уровнем передачи качество отчетности по случаям считается недостаточным для применения вышеуказанных формул. В таких случаях оценки числа случаев малярии основаны на информации о распространенности паразита, полученной в результате обследований домашних хозяйств. Во-первых, данные о распространенности паразитов из почти 60 000 записей обследований были собраны в рамках пространственно-временной байесовской геостатистической модели наряду с экологическими и социально-демографическими ковариатами и распределением данных по таким вмешательствам, как ITN, противомалярийные препараты и IRS.</w:t>
      </w:r>
      <w:r>
        <w:rPr>
          <w:rFonts w:ascii="Times New Roman" w:hAnsi="Times New Roman" w:cs="Times New Roman"/>
          <w:sz w:val="24"/>
          <w:szCs w:val="24"/>
        </w:rPr>
        <w:t xml:space="preserve"> </w:t>
      </w:r>
      <w:r w:rsidRPr="00D37674">
        <w:rPr>
          <w:rFonts w:ascii="Times New Roman" w:hAnsi="Times New Roman" w:cs="Times New Roman"/>
          <w:sz w:val="24"/>
          <w:szCs w:val="24"/>
        </w:rPr>
        <w:t>Геопространственная модель позволила предсказать распространенность Plasmodium falciparum у детей в возрасте 2-10 лет с разрешением 5 × 5 км</w:t>
      </w:r>
      <w:r w:rsidRPr="00D37674">
        <w:rPr>
          <w:rFonts w:ascii="Times New Roman" w:hAnsi="Times New Roman" w:cs="Times New Roman"/>
          <w:sz w:val="24"/>
          <w:szCs w:val="24"/>
          <w:vertAlign w:val="superscript"/>
        </w:rPr>
        <w:t>2</w:t>
      </w:r>
      <w:r w:rsidRPr="00D37674">
        <w:rPr>
          <w:rFonts w:ascii="Times New Roman" w:hAnsi="Times New Roman" w:cs="Times New Roman"/>
          <w:sz w:val="24"/>
          <w:szCs w:val="24"/>
        </w:rPr>
        <w:t xml:space="preserve"> во всех странах Африки, эндемичных по малярии, на каждый год с 2000 по 2016 год</w:t>
      </w:r>
      <w:r>
        <w:rPr>
          <w:rFonts w:ascii="Times New Roman" w:hAnsi="Times New Roman" w:cs="Times New Roman"/>
          <w:sz w:val="24"/>
          <w:szCs w:val="24"/>
        </w:rPr>
        <w:t xml:space="preserve"> (см. </w:t>
      </w:r>
      <w:hyperlink r:id="rId5" w:history="1">
        <w:r w:rsidRPr="00100353">
          <w:rPr>
            <w:rStyle w:val="Hyperlink"/>
            <w:rFonts w:ascii="Times New Roman" w:hAnsi="Times New Roman" w:cs="Times New Roman"/>
            <w:sz w:val="24"/>
            <w:szCs w:val="24"/>
          </w:rPr>
          <w:t>http://www.map.ox.ac.uk/making-maps/</w:t>
        </w:r>
      </w:hyperlink>
      <w:r>
        <w:rPr>
          <w:rFonts w:ascii="Times New Roman" w:hAnsi="Times New Roman" w:cs="Times New Roman"/>
          <w:sz w:val="24"/>
          <w:szCs w:val="24"/>
        </w:rPr>
        <w:t xml:space="preserve"> </w:t>
      </w:r>
      <w:r w:rsidRPr="00D37674">
        <w:rPr>
          <w:rFonts w:ascii="Times New Roman" w:hAnsi="Times New Roman" w:cs="Times New Roman"/>
          <w:sz w:val="24"/>
          <w:szCs w:val="24"/>
        </w:rPr>
        <w:t>для методов разработки карт по проекту «</w:t>
      </w:r>
      <w:r>
        <w:rPr>
          <w:rFonts w:ascii="Times New Roman" w:hAnsi="Times New Roman" w:cs="Times New Roman"/>
          <w:sz w:val="24"/>
          <w:szCs w:val="24"/>
        </w:rPr>
        <w:t>Атлас малярии</w:t>
      </w:r>
      <w:r w:rsidRPr="00D37674">
        <w:rPr>
          <w:rFonts w:ascii="Times New Roman" w:hAnsi="Times New Roman" w:cs="Times New Roman"/>
          <w:sz w:val="24"/>
          <w:szCs w:val="24"/>
        </w:rPr>
        <w:t>»).</w:t>
      </w:r>
      <w:r w:rsidRPr="00D37674">
        <w:t xml:space="preserve"> </w:t>
      </w:r>
      <w:r w:rsidRPr="00D37674">
        <w:rPr>
          <w:rFonts w:ascii="Times New Roman" w:hAnsi="Times New Roman" w:cs="Times New Roman"/>
          <w:sz w:val="24"/>
          <w:szCs w:val="24"/>
        </w:rPr>
        <w:t xml:space="preserve">Во-вторых, была разработана ансамблевая модель для прогнозирования заболеваемости малярией в зависимости от распространенности паразитов. Затем модель была применена к оценочной распространенности паразитов с целью получения оценок </w:t>
      </w:r>
      <w:r w:rsidRPr="00D37674">
        <w:rPr>
          <w:rFonts w:ascii="Times New Roman" w:hAnsi="Times New Roman" w:cs="Times New Roman"/>
          <w:sz w:val="24"/>
          <w:szCs w:val="24"/>
        </w:rPr>
        <w:lastRenderedPageBreak/>
        <w:t>заболеваемости малярией с разрешением 5 × 5 км</w:t>
      </w:r>
      <w:r w:rsidRPr="00D37674">
        <w:rPr>
          <w:rFonts w:ascii="Times New Roman" w:hAnsi="Times New Roman" w:cs="Times New Roman"/>
          <w:sz w:val="24"/>
          <w:szCs w:val="24"/>
          <w:vertAlign w:val="superscript"/>
        </w:rPr>
        <w:t>2</w:t>
      </w:r>
      <w:r w:rsidRPr="00D37674">
        <w:rPr>
          <w:rFonts w:ascii="Times New Roman" w:hAnsi="Times New Roman" w:cs="Times New Roman"/>
          <w:sz w:val="24"/>
          <w:szCs w:val="24"/>
        </w:rPr>
        <w:t xml:space="preserve"> на каждый год с 2000 по 2016 год. Затем данные для каждой площади 5 × 5 км</w:t>
      </w:r>
      <w:r w:rsidRPr="00D37674">
        <w:rPr>
          <w:rFonts w:ascii="Times New Roman" w:hAnsi="Times New Roman" w:cs="Times New Roman"/>
          <w:sz w:val="24"/>
          <w:szCs w:val="24"/>
          <w:vertAlign w:val="superscript"/>
        </w:rPr>
        <w:t>2</w:t>
      </w:r>
      <w:r w:rsidRPr="00D37674">
        <w:rPr>
          <w:rFonts w:ascii="Times New Roman" w:hAnsi="Times New Roman" w:cs="Times New Roman"/>
          <w:sz w:val="24"/>
          <w:szCs w:val="24"/>
        </w:rPr>
        <w:t xml:space="preserve"> были объединены в пределах страновых и региональных границ для получения как национальных, так и регионал</w:t>
      </w:r>
      <w:r>
        <w:rPr>
          <w:rFonts w:ascii="Times New Roman" w:hAnsi="Times New Roman" w:cs="Times New Roman"/>
          <w:sz w:val="24"/>
          <w:szCs w:val="24"/>
        </w:rPr>
        <w:t>ьных оценок случаев малярии (7)</w:t>
      </w:r>
      <w:r w:rsidRPr="00D37674">
        <w:t xml:space="preserve"> </w:t>
      </w:r>
      <w:r w:rsidRPr="00D37674">
        <w:rPr>
          <w:rFonts w:ascii="Times New Roman" w:hAnsi="Times New Roman" w:cs="Times New Roman"/>
          <w:sz w:val="24"/>
          <w:szCs w:val="24"/>
        </w:rPr>
        <w:t>(Бенин, Камерун, Центральноафриканская Республика, Чад, Конго, Кот-д'Ивуар, Демократическая Республика Конго, Джибути, Экваториальная Гвинея, Габон, Гвинея, Кения, Малави, Мали, Мозамбик, Нигер, Нигерия, Судан, Того и Замбия)</w:t>
      </w:r>
      <w:r>
        <w:rPr>
          <w:rFonts w:ascii="Times New Roman" w:hAnsi="Times New Roman" w:cs="Times New Roman"/>
          <w:sz w:val="24"/>
          <w:szCs w:val="24"/>
        </w:rPr>
        <w:t xml:space="preserve">. </w:t>
      </w:r>
      <w:r w:rsidRPr="00D37674">
        <w:rPr>
          <w:rFonts w:ascii="Times New Roman" w:hAnsi="Times New Roman" w:cs="Times New Roman"/>
          <w:sz w:val="24"/>
          <w:szCs w:val="24"/>
        </w:rPr>
        <w:t>Для большинства стран-ликвидаторов число случаев коренных народов, зарегистрированных NMCP, сообщается без дальнейших корректировок.</w:t>
      </w:r>
      <w:r>
        <w:rPr>
          <w:rFonts w:ascii="Times New Roman" w:hAnsi="Times New Roman" w:cs="Times New Roman"/>
          <w:sz w:val="24"/>
          <w:szCs w:val="24"/>
        </w:rPr>
        <w:t xml:space="preserve"> </w:t>
      </w:r>
      <w:r w:rsidRPr="00D37674">
        <w:rPr>
          <w:rFonts w:ascii="Times New Roman" w:hAnsi="Times New Roman" w:cs="Times New Roman"/>
          <w:sz w:val="24"/>
          <w:szCs w:val="24"/>
        </w:rPr>
        <w:t>(Алжир, Аргентина, Белиз, Бутан, Кабо-Верде, Китай, Коморские Острова,</w:t>
      </w:r>
      <w:r>
        <w:rPr>
          <w:rFonts w:ascii="Times New Roman" w:hAnsi="Times New Roman" w:cs="Times New Roman"/>
          <w:sz w:val="24"/>
          <w:szCs w:val="24"/>
        </w:rPr>
        <w:t xml:space="preserve"> </w:t>
      </w:r>
      <w:r w:rsidRPr="00D37674">
        <w:rPr>
          <w:rFonts w:ascii="Times New Roman" w:hAnsi="Times New Roman" w:cs="Times New Roman"/>
          <w:sz w:val="24"/>
          <w:szCs w:val="24"/>
        </w:rPr>
        <w:t>Коста-Рика, Корейская Народно-Демократическая Республика, Эквадор, Сальвадор, Иран (Исламская Республика), Ирак, Малайзия, Мексика, Парагвай, Республика Корея, Сан-Томе и Принсипи, Саудовская Аравия, Южная Африка,</w:t>
      </w:r>
      <w:r>
        <w:rPr>
          <w:rFonts w:ascii="Times New Roman" w:hAnsi="Times New Roman" w:cs="Times New Roman"/>
          <w:sz w:val="24"/>
          <w:szCs w:val="24"/>
        </w:rPr>
        <w:t xml:space="preserve"> Суринам, Свазиленд и Таиланд).</w:t>
      </w:r>
    </w:p>
    <w:p w:rsidR="00823B1A" w:rsidRDefault="00823B1A" w:rsidP="00823B1A">
      <w:pPr>
        <w:jc w:val="both"/>
        <w:rPr>
          <w:rFonts w:ascii="Times New Roman" w:hAnsi="Times New Roman" w:cs="Times New Roman"/>
          <w:b/>
          <w:sz w:val="24"/>
          <w:szCs w:val="24"/>
        </w:rPr>
      </w:pPr>
      <w:r w:rsidRPr="00D37674">
        <w:rPr>
          <w:rFonts w:ascii="Times New Roman" w:hAnsi="Times New Roman" w:cs="Times New Roman"/>
          <w:b/>
          <w:sz w:val="24"/>
          <w:szCs w:val="24"/>
        </w:rPr>
        <w:t>Дезагригация:</w:t>
      </w:r>
    </w:p>
    <w:p w:rsidR="00823B1A" w:rsidRDefault="00823B1A" w:rsidP="00823B1A">
      <w:pPr>
        <w:jc w:val="both"/>
        <w:rPr>
          <w:rFonts w:ascii="Times New Roman" w:hAnsi="Times New Roman" w:cs="Times New Roman"/>
          <w:sz w:val="24"/>
          <w:szCs w:val="24"/>
        </w:rPr>
      </w:pPr>
      <w:r w:rsidRPr="00D37674">
        <w:rPr>
          <w:rFonts w:ascii="Times New Roman" w:hAnsi="Times New Roman" w:cs="Times New Roman"/>
          <w:sz w:val="24"/>
          <w:szCs w:val="24"/>
        </w:rPr>
        <w:t>Показатель оценивается на страновом уровне</w:t>
      </w:r>
      <w:r>
        <w:rPr>
          <w:rFonts w:ascii="Times New Roman" w:hAnsi="Times New Roman" w:cs="Times New Roman"/>
          <w:sz w:val="24"/>
          <w:szCs w:val="24"/>
        </w:rPr>
        <w:t>.</w:t>
      </w:r>
    </w:p>
    <w:p w:rsidR="00823B1A" w:rsidRDefault="00823B1A" w:rsidP="00823B1A">
      <w:pPr>
        <w:jc w:val="both"/>
        <w:rPr>
          <w:rFonts w:ascii="Times New Roman" w:hAnsi="Times New Roman" w:cs="Times New Roman"/>
          <w:sz w:val="24"/>
          <w:szCs w:val="24"/>
        </w:rPr>
      </w:pPr>
      <w:r w:rsidRPr="00D37674">
        <w:rPr>
          <w:rFonts w:ascii="Times New Roman" w:hAnsi="Times New Roman" w:cs="Times New Roman"/>
          <w:sz w:val="24"/>
          <w:szCs w:val="24"/>
        </w:rPr>
        <w:t>Обработка отсутствующих значений:</w:t>
      </w:r>
    </w:p>
    <w:p w:rsidR="00823B1A" w:rsidRPr="00D37674" w:rsidRDefault="00823B1A" w:rsidP="00823B1A">
      <w:pPr>
        <w:pStyle w:val="ListParagraph"/>
        <w:numPr>
          <w:ilvl w:val="0"/>
          <w:numId w:val="3"/>
        </w:numPr>
        <w:jc w:val="both"/>
        <w:rPr>
          <w:rFonts w:ascii="Times New Roman" w:hAnsi="Times New Roman" w:cs="Times New Roman"/>
          <w:i/>
          <w:sz w:val="24"/>
          <w:szCs w:val="24"/>
        </w:rPr>
      </w:pPr>
      <w:r w:rsidRPr="00D37674">
        <w:rPr>
          <w:rFonts w:ascii="Times New Roman" w:hAnsi="Times New Roman" w:cs="Times New Roman"/>
          <w:i/>
          <w:sz w:val="24"/>
          <w:szCs w:val="24"/>
        </w:rPr>
        <w:t>На уровне страны</w:t>
      </w:r>
    </w:p>
    <w:p w:rsidR="00823B1A" w:rsidRDefault="00823B1A" w:rsidP="00823B1A">
      <w:pPr>
        <w:jc w:val="both"/>
        <w:rPr>
          <w:rFonts w:ascii="Times New Roman" w:hAnsi="Times New Roman" w:cs="Times New Roman"/>
          <w:sz w:val="24"/>
          <w:szCs w:val="24"/>
        </w:rPr>
      </w:pPr>
      <w:r w:rsidRPr="00D37674">
        <w:rPr>
          <w:rFonts w:ascii="Times New Roman" w:hAnsi="Times New Roman" w:cs="Times New Roman"/>
          <w:sz w:val="24"/>
          <w:szCs w:val="24"/>
        </w:rPr>
        <w:t>Для отсутствующих значений параметров (тестовый коэффициент положительности и полнота отчетности) используется распределение, основанное на смеси распределения доступных значений, если какое-либо значение существует для страны или из региона в противном случае. Значения для параметров поведения, связанных со здоровьем, вменены в линейную интерполяцию значений при проведении опросов, которые были сделаны или экстраполяции первого или последнего обследования. Когда не сообщается данных, число случаев интерполируется с учетом роста населения.</w:t>
      </w:r>
      <w:r>
        <w:rPr>
          <w:rFonts w:ascii="Times New Roman" w:hAnsi="Times New Roman" w:cs="Times New Roman"/>
          <w:sz w:val="24"/>
          <w:szCs w:val="24"/>
        </w:rPr>
        <w:t xml:space="preserve"> </w:t>
      </w:r>
    </w:p>
    <w:p w:rsidR="00823B1A" w:rsidRPr="00D37674" w:rsidRDefault="00823B1A" w:rsidP="00823B1A">
      <w:pPr>
        <w:pStyle w:val="ListParagraph"/>
        <w:numPr>
          <w:ilvl w:val="0"/>
          <w:numId w:val="3"/>
        </w:numPr>
        <w:jc w:val="both"/>
        <w:rPr>
          <w:rFonts w:ascii="Times New Roman" w:hAnsi="Times New Roman" w:cs="Times New Roman"/>
          <w:i/>
          <w:sz w:val="24"/>
          <w:szCs w:val="24"/>
        </w:rPr>
      </w:pPr>
      <w:r w:rsidRPr="00D37674">
        <w:rPr>
          <w:rFonts w:ascii="Times New Roman" w:hAnsi="Times New Roman" w:cs="Times New Roman"/>
          <w:i/>
          <w:sz w:val="24"/>
          <w:szCs w:val="24"/>
        </w:rPr>
        <w:t>На региональном и глобальном уровнях</w:t>
      </w:r>
    </w:p>
    <w:p w:rsidR="00823B1A" w:rsidRDefault="00823B1A" w:rsidP="00823B1A">
      <w:pPr>
        <w:jc w:val="both"/>
        <w:rPr>
          <w:rFonts w:ascii="Times New Roman" w:hAnsi="Times New Roman" w:cs="Times New Roman"/>
          <w:sz w:val="24"/>
          <w:szCs w:val="24"/>
        </w:rPr>
      </w:pPr>
      <w:r>
        <w:rPr>
          <w:rFonts w:ascii="Times New Roman" w:hAnsi="Times New Roman" w:cs="Times New Roman"/>
          <w:sz w:val="24"/>
          <w:szCs w:val="24"/>
        </w:rPr>
        <w:t>Не применимо</w:t>
      </w:r>
    </w:p>
    <w:p w:rsidR="00823B1A" w:rsidRPr="00D37674" w:rsidRDefault="00823B1A" w:rsidP="00823B1A">
      <w:pPr>
        <w:jc w:val="both"/>
        <w:rPr>
          <w:rFonts w:ascii="Times New Roman" w:hAnsi="Times New Roman" w:cs="Times New Roman"/>
          <w:b/>
          <w:sz w:val="24"/>
          <w:szCs w:val="24"/>
        </w:rPr>
      </w:pPr>
      <w:r w:rsidRPr="00D37674">
        <w:rPr>
          <w:rFonts w:ascii="Times New Roman" w:hAnsi="Times New Roman" w:cs="Times New Roman"/>
          <w:b/>
          <w:sz w:val="24"/>
          <w:szCs w:val="24"/>
        </w:rPr>
        <w:t>Региональные показатели:</w:t>
      </w:r>
    </w:p>
    <w:p w:rsidR="00823B1A" w:rsidRDefault="00823B1A" w:rsidP="00823B1A">
      <w:pPr>
        <w:jc w:val="both"/>
        <w:rPr>
          <w:rFonts w:ascii="Times New Roman" w:hAnsi="Times New Roman" w:cs="Times New Roman"/>
          <w:sz w:val="24"/>
          <w:szCs w:val="24"/>
        </w:rPr>
      </w:pPr>
      <w:r w:rsidRPr="00D37674">
        <w:rPr>
          <w:rFonts w:ascii="Times New Roman" w:hAnsi="Times New Roman" w:cs="Times New Roman"/>
          <w:sz w:val="24"/>
          <w:szCs w:val="24"/>
        </w:rPr>
        <w:t>Количество случаев агрегировано по регионам и неопределенность, полученная в результате агрегирования распределения каждой страны. Население под угрозой агрегируется без какой-либо дальнейшей корректировки. Оценка на глобальном уровне получается из агрегирования значений области.</w:t>
      </w:r>
    </w:p>
    <w:p w:rsidR="00823B1A" w:rsidRDefault="00823B1A" w:rsidP="00823B1A">
      <w:pPr>
        <w:jc w:val="both"/>
        <w:rPr>
          <w:rFonts w:ascii="Times New Roman" w:hAnsi="Times New Roman" w:cs="Times New Roman"/>
          <w:sz w:val="24"/>
          <w:szCs w:val="24"/>
        </w:rPr>
      </w:pPr>
      <w:r>
        <w:rPr>
          <w:rFonts w:ascii="Times New Roman" w:hAnsi="Times New Roman" w:cs="Times New Roman"/>
          <w:sz w:val="24"/>
          <w:szCs w:val="24"/>
        </w:rPr>
        <w:t>Источники расхождений:</w:t>
      </w:r>
    </w:p>
    <w:p w:rsidR="00823B1A" w:rsidRDefault="00823B1A" w:rsidP="00823B1A">
      <w:pPr>
        <w:jc w:val="both"/>
        <w:rPr>
          <w:rFonts w:ascii="Times New Roman" w:hAnsi="Times New Roman" w:cs="Times New Roman"/>
          <w:sz w:val="24"/>
          <w:szCs w:val="24"/>
        </w:rPr>
      </w:pPr>
      <w:r w:rsidRPr="00937A60">
        <w:rPr>
          <w:rFonts w:ascii="Times New Roman" w:hAnsi="Times New Roman" w:cs="Times New Roman"/>
          <w:sz w:val="24"/>
          <w:szCs w:val="24"/>
        </w:rPr>
        <w:t>Оценочная заболеваемость может отличаться от уровня заболеваемости, о котором сообщает министерство здравоохранения, на которое могут влиять:</w:t>
      </w:r>
      <w:r>
        <w:rPr>
          <w:rFonts w:ascii="Times New Roman" w:hAnsi="Times New Roman" w:cs="Times New Roman"/>
          <w:sz w:val="24"/>
          <w:szCs w:val="24"/>
        </w:rPr>
        <w:t xml:space="preserve"> </w:t>
      </w:r>
    </w:p>
    <w:p w:rsidR="00823B1A" w:rsidRPr="00937A60" w:rsidRDefault="00823B1A" w:rsidP="00823B1A">
      <w:pPr>
        <w:pStyle w:val="ListParagraph"/>
        <w:numPr>
          <w:ilvl w:val="0"/>
          <w:numId w:val="3"/>
        </w:numPr>
        <w:jc w:val="both"/>
        <w:rPr>
          <w:rFonts w:ascii="Times New Roman" w:hAnsi="Times New Roman" w:cs="Times New Roman"/>
          <w:sz w:val="24"/>
          <w:szCs w:val="24"/>
        </w:rPr>
      </w:pPr>
      <w:r w:rsidRPr="00937A60">
        <w:rPr>
          <w:rFonts w:ascii="Times New Roman" w:hAnsi="Times New Roman" w:cs="Times New Roman"/>
          <w:sz w:val="24"/>
          <w:szCs w:val="24"/>
        </w:rPr>
        <w:t>полнота отчетности: количество сообщаемых случаев может быть ниже, чем предполагаемые случаи, если процентная доля медицинских учреждений, сообщающих в месяц, составляет менее 100%</w:t>
      </w:r>
    </w:p>
    <w:p w:rsidR="00823B1A" w:rsidRPr="00937A60" w:rsidRDefault="00823B1A" w:rsidP="00823B1A">
      <w:pPr>
        <w:pStyle w:val="ListParagraph"/>
        <w:numPr>
          <w:ilvl w:val="0"/>
          <w:numId w:val="3"/>
        </w:numPr>
        <w:jc w:val="both"/>
        <w:rPr>
          <w:rFonts w:ascii="Times New Roman" w:hAnsi="Times New Roman" w:cs="Times New Roman"/>
          <w:sz w:val="24"/>
          <w:szCs w:val="24"/>
        </w:rPr>
      </w:pPr>
      <w:r w:rsidRPr="00937A60">
        <w:rPr>
          <w:rFonts w:ascii="Times New Roman" w:hAnsi="Times New Roman" w:cs="Times New Roman"/>
          <w:sz w:val="24"/>
          <w:szCs w:val="24"/>
        </w:rPr>
        <w:t>степень диагностического тестирования малярии (количество просмотренных слайдов или выполнение RDT)</w:t>
      </w:r>
    </w:p>
    <w:p w:rsidR="00823B1A" w:rsidRDefault="00823B1A" w:rsidP="00823B1A">
      <w:pPr>
        <w:pStyle w:val="ListParagraph"/>
        <w:numPr>
          <w:ilvl w:val="0"/>
          <w:numId w:val="3"/>
        </w:numPr>
        <w:jc w:val="both"/>
        <w:rPr>
          <w:rFonts w:ascii="Times New Roman" w:hAnsi="Times New Roman" w:cs="Times New Roman"/>
          <w:sz w:val="24"/>
          <w:szCs w:val="24"/>
        </w:rPr>
      </w:pPr>
      <w:r w:rsidRPr="00937A60">
        <w:rPr>
          <w:rFonts w:ascii="Times New Roman" w:hAnsi="Times New Roman" w:cs="Times New Roman"/>
          <w:sz w:val="24"/>
          <w:szCs w:val="24"/>
        </w:rPr>
        <w:lastRenderedPageBreak/>
        <w:t>использование частных медицинских учреждений, которые обычно не включаются в системы отчетности.</w:t>
      </w:r>
    </w:p>
    <w:p w:rsidR="00823B1A" w:rsidRDefault="00823B1A" w:rsidP="00823B1A">
      <w:pPr>
        <w:jc w:val="both"/>
        <w:rPr>
          <w:rFonts w:ascii="Times New Roman" w:hAnsi="Times New Roman" w:cs="Times New Roman"/>
          <w:sz w:val="24"/>
          <w:szCs w:val="24"/>
        </w:rPr>
      </w:pPr>
      <w:r w:rsidRPr="00937A60">
        <w:rPr>
          <w:rFonts w:ascii="Times New Roman" w:hAnsi="Times New Roman" w:cs="Times New Roman"/>
          <w:sz w:val="24"/>
          <w:szCs w:val="24"/>
        </w:rPr>
        <w:t>Методы и рекомендации, доступные странам для составления данных на национальном уровне:</w:t>
      </w:r>
    </w:p>
    <w:p w:rsidR="00823B1A" w:rsidRDefault="00823B1A" w:rsidP="00823B1A">
      <w:pPr>
        <w:jc w:val="both"/>
        <w:rPr>
          <w:rFonts w:ascii="Times New Roman" w:hAnsi="Times New Roman" w:cs="Times New Roman"/>
          <w:sz w:val="24"/>
          <w:szCs w:val="24"/>
        </w:rPr>
      </w:pPr>
      <w:r w:rsidRPr="00937A60">
        <w:rPr>
          <w:rFonts w:ascii="Times New Roman" w:hAnsi="Times New Roman" w:cs="Times New Roman"/>
          <w:sz w:val="24"/>
          <w:szCs w:val="24"/>
        </w:rPr>
        <w:t>Информация предоставляется NMCP каждой страны, используя приложение DHIS 2, созданное специально для этой цели.</w:t>
      </w:r>
    </w:p>
    <w:p w:rsidR="00823B1A" w:rsidRDefault="00823B1A" w:rsidP="00823B1A">
      <w:pPr>
        <w:jc w:val="both"/>
        <w:rPr>
          <w:rFonts w:ascii="Times New Roman" w:hAnsi="Times New Roman" w:cs="Times New Roman"/>
          <w:sz w:val="24"/>
          <w:szCs w:val="24"/>
        </w:rPr>
      </w:pPr>
      <w:r>
        <w:rPr>
          <w:rFonts w:ascii="Times New Roman" w:hAnsi="Times New Roman" w:cs="Times New Roman"/>
          <w:sz w:val="24"/>
          <w:szCs w:val="24"/>
        </w:rPr>
        <w:t>Гарантия качества:</w:t>
      </w:r>
    </w:p>
    <w:p w:rsidR="00823B1A" w:rsidRDefault="00823B1A" w:rsidP="00823B1A">
      <w:pPr>
        <w:pStyle w:val="ListParagraph"/>
        <w:numPr>
          <w:ilvl w:val="0"/>
          <w:numId w:val="4"/>
        </w:numPr>
        <w:jc w:val="both"/>
        <w:rPr>
          <w:rFonts w:ascii="Times New Roman" w:hAnsi="Times New Roman" w:cs="Times New Roman"/>
          <w:sz w:val="24"/>
          <w:szCs w:val="24"/>
        </w:rPr>
      </w:pPr>
      <w:r w:rsidRPr="00937A60">
        <w:rPr>
          <w:rFonts w:ascii="Times New Roman" w:hAnsi="Times New Roman" w:cs="Times New Roman"/>
          <w:sz w:val="24"/>
          <w:szCs w:val="24"/>
        </w:rPr>
        <w:t>У нас есть специальная форма стандартизации в зависимости от статуса борьбы с малярией, ее устранения или предотвращения реинфекции. Мы проводим внутреннюю проверку достоверности и полноты и повышаем запросы к странам через региональные отделения для уточнения. При необходимости мы полагаемся на данные оценки качества данных из внешних источников, таких как партнеры, работающие в области мониторинга и оценки малярии.</w:t>
      </w:r>
    </w:p>
    <w:p w:rsidR="00823B1A" w:rsidRDefault="00823B1A" w:rsidP="00823B1A">
      <w:pPr>
        <w:pStyle w:val="ListParagraph"/>
        <w:numPr>
          <w:ilvl w:val="0"/>
          <w:numId w:val="4"/>
        </w:numPr>
        <w:jc w:val="both"/>
        <w:rPr>
          <w:rFonts w:ascii="Times New Roman" w:hAnsi="Times New Roman" w:cs="Times New Roman"/>
          <w:sz w:val="24"/>
          <w:szCs w:val="24"/>
        </w:rPr>
      </w:pPr>
      <w:r w:rsidRPr="00937A60">
        <w:rPr>
          <w:rFonts w:ascii="Times New Roman" w:hAnsi="Times New Roman" w:cs="Times New Roman"/>
          <w:sz w:val="24"/>
          <w:szCs w:val="24"/>
        </w:rPr>
        <w:t>Всемирный доклад по малярии направляется в страны через региональные отделения для консультаций и одобрения.</w:t>
      </w:r>
    </w:p>
    <w:p w:rsidR="00823B1A" w:rsidRDefault="00823B1A" w:rsidP="00823B1A">
      <w:pPr>
        <w:jc w:val="both"/>
        <w:rPr>
          <w:rFonts w:ascii="Times New Roman" w:hAnsi="Times New Roman" w:cs="Times New Roman"/>
          <w:b/>
          <w:sz w:val="24"/>
          <w:szCs w:val="24"/>
        </w:rPr>
      </w:pPr>
      <w:r w:rsidRPr="00937A60">
        <w:rPr>
          <w:rFonts w:ascii="Times New Roman" w:hAnsi="Times New Roman" w:cs="Times New Roman"/>
          <w:b/>
          <w:sz w:val="24"/>
          <w:szCs w:val="24"/>
        </w:rPr>
        <w:t>Источник данных:</w:t>
      </w:r>
    </w:p>
    <w:p w:rsidR="00823B1A" w:rsidRDefault="00823B1A" w:rsidP="00823B1A">
      <w:pPr>
        <w:jc w:val="both"/>
        <w:rPr>
          <w:rFonts w:ascii="Times New Roman" w:hAnsi="Times New Roman" w:cs="Times New Roman"/>
          <w:sz w:val="24"/>
          <w:szCs w:val="24"/>
        </w:rPr>
      </w:pPr>
      <w:r>
        <w:rPr>
          <w:rFonts w:ascii="Times New Roman" w:hAnsi="Times New Roman" w:cs="Times New Roman"/>
          <w:sz w:val="24"/>
          <w:szCs w:val="24"/>
        </w:rPr>
        <w:t>Описание:</w:t>
      </w:r>
    </w:p>
    <w:p w:rsidR="00823B1A" w:rsidRDefault="00823B1A" w:rsidP="00823B1A">
      <w:pPr>
        <w:jc w:val="both"/>
        <w:rPr>
          <w:rFonts w:ascii="Times New Roman" w:hAnsi="Times New Roman" w:cs="Times New Roman"/>
          <w:sz w:val="24"/>
          <w:szCs w:val="24"/>
        </w:rPr>
      </w:pPr>
      <w:r w:rsidRPr="00937A60">
        <w:rPr>
          <w:rFonts w:ascii="Times New Roman" w:hAnsi="Times New Roman" w:cs="Times New Roman"/>
          <w:sz w:val="24"/>
          <w:szCs w:val="24"/>
        </w:rPr>
        <w:t>Случаи, о которых сообщает NMCP, получают от каждой страновой системы эпиднадзора. Сюда входит, среди прочего, информация о количестве подозрительных случаев, количестве проверенных случаев, количестве положительных случаев по методу обнаружения и по видам, а также о количестве медицинских учреждений, которые сообщают об этих случаях. Эта информация обобщается в приложении DHIS2, разработанном для этой цели. Данные для репрезентативных обследований домашних хозяйств являются общедоступными и включают Национальные демографические обследования домашних хозяйств (DHS) или Обзор показателей по малярии (MIS).</w:t>
      </w:r>
    </w:p>
    <w:p w:rsidR="00823B1A" w:rsidRDefault="00823B1A" w:rsidP="00823B1A">
      <w:pPr>
        <w:jc w:val="both"/>
        <w:rPr>
          <w:rFonts w:ascii="Times New Roman" w:hAnsi="Times New Roman" w:cs="Times New Roman"/>
          <w:sz w:val="24"/>
          <w:szCs w:val="24"/>
        </w:rPr>
      </w:pPr>
      <w:r>
        <w:rPr>
          <w:rFonts w:ascii="Times New Roman" w:hAnsi="Times New Roman" w:cs="Times New Roman"/>
          <w:sz w:val="24"/>
          <w:szCs w:val="24"/>
        </w:rPr>
        <w:t>Процесс сбора:</w:t>
      </w:r>
    </w:p>
    <w:p w:rsidR="00823B1A" w:rsidRDefault="00823B1A" w:rsidP="00823B1A">
      <w:pPr>
        <w:jc w:val="both"/>
        <w:rPr>
          <w:rFonts w:ascii="Times New Roman" w:hAnsi="Times New Roman" w:cs="Times New Roman"/>
          <w:sz w:val="24"/>
          <w:szCs w:val="24"/>
        </w:rPr>
      </w:pPr>
      <w:r w:rsidRPr="00937A60">
        <w:rPr>
          <w:rFonts w:ascii="Times New Roman" w:hAnsi="Times New Roman" w:cs="Times New Roman"/>
          <w:sz w:val="24"/>
          <w:szCs w:val="24"/>
        </w:rPr>
        <w:t>Официальным партнером для каждой страны является Национальная программа борьбы с малярией в Министерстве здравоохранения.</w:t>
      </w:r>
    </w:p>
    <w:p w:rsidR="00823B1A" w:rsidRPr="00937A60" w:rsidRDefault="00823B1A" w:rsidP="00823B1A">
      <w:pPr>
        <w:jc w:val="both"/>
        <w:rPr>
          <w:rFonts w:ascii="Times New Roman" w:hAnsi="Times New Roman" w:cs="Times New Roman"/>
          <w:b/>
          <w:sz w:val="24"/>
          <w:szCs w:val="24"/>
        </w:rPr>
      </w:pPr>
      <w:r w:rsidRPr="00937A60">
        <w:rPr>
          <w:rFonts w:ascii="Times New Roman" w:hAnsi="Times New Roman" w:cs="Times New Roman"/>
          <w:b/>
          <w:sz w:val="24"/>
          <w:szCs w:val="24"/>
        </w:rPr>
        <w:t>Доступность данных:</w:t>
      </w:r>
    </w:p>
    <w:p w:rsidR="00823B1A" w:rsidRDefault="00823B1A" w:rsidP="00823B1A">
      <w:pPr>
        <w:jc w:val="both"/>
        <w:rPr>
          <w:rFonts w:ascii="Times New Roman" w:hAnsi="Times New Roman" w:cs="Times New Roman"/>
          <w:sz w:val="24"/>
          <w:szCs w:val="24"/>
        </w:rPr>
      </w:pPr>
      <w:r>
        <w:rPr>
          <w:rFonts w:ascii="Times New Roman" w:hAnsi="Times New Roman" w:cs="Times New Roman"/>
          <w:sz w:val="24"/>
          <w:szCs w:val="24"/>
        </w:rPr>
        <w:t>Описание:</w:t>
      </w:r>
    </w:p>
    <w:p w:rsidR="00823B1A" w:rsidRDefault="00823B1A" w:rsidP="00823B1A">
      <w:pPr>
        <w:jc w:val="both"/>
        <w:rPr>
          <w:rFonts w:ascii="Times New Roman" w:hAnsi="Times New Roman" w:cs="Times New Roman"/>
          <w:sz w:val="24"/>
          <w:szCs w:val="24"/>
        </w:rPr>
      </w:pPr>
      <w:r>
        <w:rPr>
          <w:rFonts w:ascii="Times New Roman" w:hAnsi="Times New Roman" w:cs="Times New Roman"/>
          <w:sz w:val="24"/>
          <w:szCs w:val="24"/>
        </w:rPr>
        <w:t>91 страна</w:t>
      </w:r>
    </w:p>
    <w:p w:rsidR="00823B1A" w:rsidRDefault="00823B1A" w:rsidP="00823B1A">
      <w:pPr>
        <w:jc w:val="both"/>
        <w:rPr>
          <w:rFonts w:ascii="Times New Roman" w:hAnsi="Times New Roman" w:cs="Times New Roman"/>
          <w:sz w:val="24"/>
          <w:szCs w:val="24"/>
        </w:rPr>
      </w:pPr>
      <w:r>
        <w:rPr>
          <w:rFonts w:ascii="Times New Roman" w:hAnsi="Times New Roman" w:cs="Times New Roman"/>
          <w:sz w:val="24"/>
          <w:szCs w:val="24"/>
        </w:rPr>
        <w:t>Временные ряды:</w:t>
      </w:r>
    </w:p>
    <w:p w:rsidR="00823B1A" w:rsidRDefault="00823B1A" w:rsidP="00823B1A">
      <w:pPr>
        <w:jc w:val="both"/>
        <w:rPr>
          <w:rFonts w:ascii="Times New Roman" w:hAnsi="Times New Roman" w:cs="Times New Roman"/>
          <w:sz w:val="24"/>
          <w:szCs w:val="24"/>
        </w:rPr>
      </w:pPr>
      <w:r w:rsidRPr="00937A60">
        <w:rPr>
          <w:rFonts w:ascii="Times New Roman" w:hAnsi="Times New Roman" w:cs="Times New Roman"/>
          <w:sz w:val="24"/>
          <w:szCs w:val="24"/>
        </w:rPr>
        <w:t>Ежегодно с 2000 года</w:t>
      </w:r>
    </w:p>
    <w:p w:rsidR="00823B1A" w:rsidRPr="00937A60" w:rsidRDefault="00823B1A" w:rsidP="00823B1A">
      <w:pPr>
        <w:jc w:val="both"/>
        <w:rPr>
          <w:rFonts w:ascii="Times New Roman" w:hAnsi="Times New Roman" w:cs="Times New Roman"/>
          <w:b/>
          <w:sz w:val="24"/>
          <w:szCs w:val="24"/>
        </w:rPr>
      </w:pPr>
      <w:r w:rsidRPr="00937A60">
        <w:rPr>
          <w:rFonts w:ascii="Times New Roman" w:hAnsi="Times New Roman" w:cs="Times New Roman"/>
          <w:b/>
          <w:sz w:val="24"/>
          <w:szCs w:val="24"/>
        </w:rPr>
        <w:t>Календарь:</w:t>
      </w:r>
    </w:p>
    <w:p w:rsidR="00823B1A" w:rsidRDefault="00823B1A" w:rsidP="00823B1A">
      <w:pPr>
        <w:jc w:val="both"/>
        <w:rPr>
          <w:rFonts w:ascii="Times New Roman" w:hAnsi="Times New Roman" w:cs="Times New Roman"/>
          <w:sz w:val="24"/>
          <w:szCs w:val="24"/>
        </w:rPr>
      </w:pPr>
      <w:r>
        <w:rPr>
          <w:rFonts w:ascii="Times New Roman" w:hAnsi="Times New Roman" w:cs="Times New Roman"/>
          <w:sz w:val="24"/>
          <w:szCs w:val="24"/>
        </w:rPr>
        <w:t>Сбор данных:</w:t>
      </w:r>
    </w:p>
    <w:p w:rsidR="00823B1A" w:rsidRDefault="00823B1A" w:rsidP="00823B1A">
      <w:pPr>
        <w:jc w:val="both"/>
        <w:rPr>
          <w:rFonts w:ascii="Times New Roman" w:hAnsi="Times New Roman" w:cs="Times New Roman"/>
          <w:sz w:val="24"/>
          <w:szCs w:val="24"/>
        </w:rPr>
      </w:pPr>
      <w:r>
        <w:rPr>
          <w:rFonts w:ascii="Times New Roman" w:hAnsi="Times New Roman" w:cs="Times New Roman"/>
          <w:sz w:val="24"/>
          <w:szCs w:val="24"/>
        </w:rPr>
        <w:lastRenderedPageBreak/>
        <w:t>Данные собираются каждый год.</w:t>
      </w:r>
    </w:p>
    <w:p w:rsidR="00823B1A" w:rsidRDefault="00823B1A" w:rsidP="00823B1A">
      <w:pPr>
        <w:jc w:val="both"/>
        <w:rPr>
          <w:rFonts w:ascii="Times New Roman" w:hAnsi="Times New Roman" w:cs="Times New Roman"/>
          <w:sz w:val="24"/>
          <w:szCs w:val="24"/>
        </w:rPr>
      </w:pPr>
      <w:r>
        <w:rPr>
          <w:rFonts w:ascii="Times New Roman" w:hAnsi="Times New Roman" w:cs="Times New Roman"/>
          <w:sz w:val="24"/>
          <w:szCs w:val="24"/>
        </w:rPr>
        <w:t>Выпуск данных:</w:t>
      </w:r>
    </w:p>
    <w:p w:rsidR="00823B1A" w:rsidRDefault="00823B1A" w:rsidP="00823B1A">
      <w:pPr>
        <w:jc w:val="both"/>
        <w:rPr>
          <w:rFonts w:ascii="Times New Roman" w:hAnsi="Times New Roman" w:cs="Times New Roman"/>
          <w:sz w:val="24"/>
          <w:szCs w:val="24"/>
        </w:rPr>
      </w:pPr>
      <w:r w:rsidRPr="00BD6761">
        <w:rPr>
          <w:rFonts w:ascii="Times New Roman" w:hAnsi="Times New Roman" w:cs="Times New Roman"/>
          <w:sz w:val="24"/>
          <w:szCs w:val="24"/>
        </w:rPr>
        <w:t>Данные выпускаются ежегодно. Следующий выпуск ожидается к декабрю 2018 года.</w:t>
      </w:r>
    </w:p>
    <w:p w:rsidR="00823B1A" w:rsidRPr="00BD6761" w:rsidRDefault="00823B1A" w:rsidP="00823B1A">
      <w:pPr>
        <w:jc w:val="both"/>
        <w:rPr>
          <w:rFonts w:ascii="Times New Roman" w:hAnsi="Times New Roman" w:cs="Times New Roman"/>
          <w:b/>
          <w:sz w:val="24"/>
          <w:szCs w:val="24"/>
        </w:rPr>
      </w:pPr>
      <w:r w:rsidRPr="00BD6761">
        <w:rPr>
          <w:rFonts w:ascii="Times New Roman" w:hAnsi="Times New Roman" w:cs="Times New Roman"/>
          <w:b/>
          <w:sz w:val="24"/>
          <w:szCs w:val="24"/>
        </w:rPr>
        <w:t>Поставщики данных:</w:t>
      </w:r>
    </w:p>
    <w:p w:rsidR="00823B1A" w:rsidRDefault="00823B1A" w:rsidP="00823B1A">
      <w:pPr>
        <w:jc w:val="both"/>
        <w:rPr>
          <w:rFonts w:ascii="Times New Roman" w:hAnsi="Times New Roman" w:cs="Times New Roman"/>
          <w:sz w:val="24"/>
          <w:szCs w:val="24"/>
        </w:rPr>
      </w:pPr>
      <w:r w:rsidRPr="00BD6761">
        <w:rPr>
          <w:rFonts w:ascii="Times New Roman" w:hAnsi="Times New Roman" w:cs="Times New Roman"/>
          <w:sz w:val="24"/>
          <w:szCs w:val="24"/>
        </w:rPr>
        <w:t>Национальная программа борьбы с малярией отвечает за сбор информации в каждой стране.</w:t>
      </w:r>
    </w:p>
    <w:p w:rsidR="00823B1A" w:rsidRDefault="00823B1A" w:rsidP="00823B1A">
      <w:pPr>
        <w:jc w:val="both"/>
        <w:rPr>
          <w:rFonts w:ascii="Times New Roman" w:hAnsi="Times New Roman" w:cs="Times New Roman"/>
          <w:b/>
          <w:sz w:val="24"/>
          <w:szCs w:val="24"/>
        </w:rPr>
      </w:pPr>
      <w:r w:rsidRPr="00BD6761">
        <w:rPr>
          <w:rFonts w:ascii="Times New Roman" w:hAnsi="Times New Roman" w:cs="Times New Roman"/>
          <w:b/>
          <w:sz w:val="24"/>
          <w:szCs w:val="24"/>
        </w:rPr>
        <w:t>Составители данных:</w:t>
      </w:r>
    </w:p>
    <w:p w:rsidR="00823B1A" w:rsidRDefault="00823B1A" w:rsidP="00823B1A">
      <w:pPr>
        <w:jc w:val="both"/>
        <w:rPr>
          <w:rFonts w:ascii="Times New Roman" w:hAnsi="Times New Roman" w:cs="Times New Roman"/>
          <w:sz w:val="24"/>
          <w:szCs w:val="24"/>
        </w:rPr>
      </w:pPr>
      <w:r w:rsidRPr="00BD6761">
        <w:rPr>
          <w:rFonts w:ascii="Times New Roman" w:hAnsi="Times New Roman" w:cs="Times New Roman"/>
          <w:sz w:val="24"/>
          <w:szCs w:val="24"/>
        </w:rPr>
        <w:t>Наблюдение. Группа мониторинга и оценки Глобальной программы борьбы с малярией несет ответственность за сбор и обработку всей соответствующей информации. Национальные оценки для некоторых стран оцениваются в сотрудничестве с Оксфордским университетом (проект «Атлас малярии»).</w:t>
      </w:r>
    </w:p>
    <w:p w:rsidR="00823B1A" w:rsidRDefault="00823B1A" w:rsidP="00823B1A">
      <w:pPr>
        <w:jc w:val="both"/>
        <w:rPr>
          <w:rFonts w:ascii="Times New Roman" w:hAnsi="Times New Roman" w:cs="Times New Roman"/>
          <w:b/>
          <w:sz w:val="24"/>
          <w:szCs w:val="24"/>
        </w:rPr>
      </w:pPr>
      <w:r w:rsidRPr="00BD6761">
        <w:rPr>
          <w:rFonts w:ascii="Times New Roman" w:hAnsi="Times New Roman" w:cs="Times New Roman"/>
          <w:b/>
          <w:sz w:val="24"/>
          <w:szCs w:val="24"/>
        </w:rPr>
        <w:t>Ссылки:</w:t>
      </w:r>
    </w:p>
    <w:p w:rsidR="00823B1A" w:rsidRPr="00BD6761" w:rsidRDefault="00823B1A" w:rsidP="00823B1A">
      <w:pPr>
        <w:jc w:val="both"/>
        <w:rPr>
          <w:rFonts w:ascii="Times New Roman" w:hAnsi="Times New Roman" w:cs="Times New Roman"/>
          <w:sz w:val="24"/>
          <w:szCs w:val="24"/>
        </w:rPr>
      </w:pPr>
      <w:r w:rsidRPr="00BD6761">
        <w:rPr>
          <w:rFonts w:ascii="Times New Roman" w:hAnsi="Times New Roman" w:cs="Times New Roman"/>
          <w:sz w:val="24"/>
          <w:szCs w:val="24"/>
          <w:lang w:val="en-US"/>
        </w:rPr>
        <w:t>URL</w:t>
      </w:r>
      <w:r w:rsidRPr="00BD6761">
        <w:rPr>
          <w:rFonts w:ascii="Times New Roman" w:hAnsi="Times New Roman" w:cs="Times New Roman"/>
          <w:sz w:val="24"/>
          <w:szCs w:val="24"/>
        </w:rPr>
        <w:t>:</w:t>
      </w:r>
    </w:p>
    <w:p w:rsidR="00823B1A" w:rsidRDefault="00823B1A" w:rsidP="00823B1A">
      <w:pPr>
        <w:jc w:val="both"/>
        <w:rPr>
          <w:rFonts w:ascii="Times New Roman" w:hAnsi="Times New Roman" w:cs="Times New Roman"/>
          <w:sz w:val="24"/>
          <w:szCs w:val="24"/>
        </w:rPr>
      </w:pPr>
      <w:hyperlink r:id="rId6" w:history="1">
        <w:r w:rsidRPr="00100353">
          <w:rPr>
            <w:rStyle w:val="Hyperlink"/>
            <w:rFonts w:ascii="Times New Roman" w:hAnsi="Times New Roman" w:cs="Times New Roman"/>
            <w:sz w:val="24"/>
            <w:szCs w:val="24"/>
            <w:lang w:val="en-US"/>
          </w:rPr>
          <w:t>http</w:t>
        </w:r>
        <w:r w:rsidRPr="00BD6761">
          <w:rPr>
            <w:rStyle w:val="Hyperlink"/>
            <w:rFonts w:ascii="Times New Roman" w:hAnsi="Times New Roman" w:cs="Times New Roman"/>
            <w:sz w:val="24"/>
            <w:szCs w:val="24"/>
          </w:rPr>
          <w:t>://</w:t>
        </w:r>
        <w:r w:rsidRPr="00100353">
          <w:rPr>
            <w:rStyle w:val="Hyperlink"/>
            <w:rFonts w:ascii="Times New Roman" w:hAnsi="Times New Roman" w:cs="Times New Roman"/>
            <w:sz w:val="24"/>
            <w:szCs w:val="24"/>
            <w:lang w:val="en-US"/>
          </w:rPr>
          <w:t>www</w:t>
        </w:r>
        <w:r w:rsidRPr="00BD6761">
          <w:rPr>
            <w:rStyle w:val="Hyperlink"/>
            <w:rFonts w:ascii="Times New Roman" w:hAnsi="Times New Roman" w:cs="Times New Roman"/>
            <w:sz w:val="24"/>
            <w:szCs w:val="24"/>
          </w:rPr>
          <w:t>.</w:t>
        </w:r>
        <w:r w:rsidRPr="00100353">
          <w:rPr>
            <w:rStyle w:val="Hyperlink"/>
            <w:rFonts w:ascii="Times New Roman" w:hAnsi="Times New Roman" w:cs="Times New Roman"/>
            <w:sz w:val="24"/>
            <w:szCs w:val="24"/>
            <w:lang w:val="en-US"/>
          </w:rPr>
          <w:t>who</w:t>
        </w:r>
        <w:r w:rsidRPr="00BD6761">
          <w:rPr>
            <w:rStyle w:val="Hyperlink"/>
            <w:rFonts w:ascii="Times New Roman" w:hAnsi="Times New Roman" w:cs="Times New Roman"/>
            <w:sz w:val="24"/>
            <w:szCs w:val="24"/>
          </w:rPr>
          <w:t>.</w:t>
        </w:r>
        <w:r w:rsidRPr="00100353">
          <w:rPr>
            <w:rStyle w:val="Hyperlink"/>
            <w:rFonts w:ascii="Times New Roman" w:hAnsi="Times New Roman" w:cs="Times New Roman"/>
            <w:sz w:val="24"/>
            <w:szCs w:val="24"/>
            <w:lang w:val="en-US"/>
          </w:rPr>
          <w:t>int</w:t>
        </w:r>
        <w:r w:rsidRPr="00BD6761">
          <w:rPr>
            <w:rStyle w:val="Hyperlink"/>
            <w:rFonts w:ascii="Times New Roman" w:hAnsi="Times New Roman" w:cs="Times New Roman"/>
            <w:sz w:val="24"/>
            <w:szCs w:val="24"/>
          </w:rPr>
          <w:t>/</w:t>
        </w:r>
        <w:r w:rsidRPr="00100353">
          <w:rPr>
            <w:rStyle w:val="Hyperlink"/>
            <w:rFonts w:ascii="Times New Roman" w:hAnsi="Times New Roman" w:cs="Times New Roman"/>
            <w:sz w:val="24"/>
            <w:szCs w:val="24"/>
            <w:lang w:val="en-US"/>
          </w:rPr>
          <w:t>malaria</w:t>
        </w:r>
        <w:r w:rsidRPr="00BD6761">
          <w:rPr>
            <w:rStyle w:val="Hyperlink"/>
            <w:rFonts w:ascii="Times New Roman" w:hAnsi="Times New Roman" w:cs="Times New Roman"/>
            <w:sz w:val="24"/>
            <w:szCs w:val="24"/>
          </w:rPr>
          <w:t>/</w:t>
        </w:r>
        <w:r w:rsidRPr="00100353">
          <w:rPr>
            <w:rStyle w:val="Hyperlink"/>
            <w:rFonts w:ascii="Times New Roman" w:hAnsi="Times New Roman" w:cs="Times New Roman"/>
            <w:sz w:val="24"/>
            <w:szCs w:val="24"/>
            <w:lang w:val="en-US"/>
          </w:rPr>
          <w:t>publications</w:t>
        </w:r>
        <w:r w:rsidRPr="00BD6761">
          <w:rPr>
            <w:rStyle w:val="Hyperlink"/>
            <w:rFonts w:ascii="Times New Roman" w:hAnsi="Times New Roman" w:cs="Times New Roman"/>
            <w:sz w:val="24"/>
            <w:szCs w:val="24"/>
          </w:rPr>
          <w:t>/</w:t>
        </w:r>
        <w:r w:rsidRPr="00100353">
          <w:rPr>
            <w:rStyle w:val="Hyperlink"/>
            <w:rFonts w:ascii="Times New Roman" w:hAnsi="Times New Roman" w:cs="Times New Roman"/>
            <w:sz w:val="24"/>
            <w:szCs w:val="24"/>
            <w:lang w:val="en-US"/>
          </w:rPr>
          <w:t>world</w:t>
        </w:r>
        <w:r w:rsidRPr="00BD6761">
          <w:rPr>
            <w:rStyle w:val="Hyperlink"/>
            <w:rFonts w:ascii="Times New Roman" w:hAnsi="Times New Roman" w:cs="Times New Roman"/>
            <w:sz w:val="24"/>
            <w:szCs w:val="24"/>
          </w:rPr>
          <w:t>-</w:t>
        </w:r>
        <w:r w:rsidRPr="00100353">
          <w:rPr>
            <w:rStyle w:val="Hyperlink"/>
            <w:rFonts w:ascii="Times New Roman" w:hAnsi="Times New Roman" w:cs="Times New Roman"/>
            <w:sz w:val="24"/>
            <w:szCs w:val="24"/>
            <w:lang w:val="en-US"/>
          </w:rPr>
          <w:t>malaria</w:t>
        </w:r>
        <w:r w:rsidRPr="00BD6761">
          <w:rPr>
            <w:rStyle w:val="Hyperlink"/>
            <w:rFonts w:ascii="Times New Roman" w:hAnsi="Times New Roman" w:cs="Times New Roman"/>
            <w:sz w:val="24"/>
            <w:szCs w:val="24"/>
          </w:rPr>
          <w:t>-</w:t>
        </w:r>
        <w:r w:rsidRPr="00100353">
          <w:rPr>
            <w:rStyle w:val="Hyperlink"/>
            <w:rFonts w:ascii="Times New Roman" w:hAnsi="Times New Roman" w:cs="Times New Roman"/>
            <w:sz w:val="24"/>
            <w:szCs w:val="24"/>
            <w:lang w:val="en-US"/>
          </w:rPr>
          <w:t>report</w:t>
        </w:r>
        <w:r w:rsidRPr="00BD6761">
          <w:rPr>
            <w:rStyle w:val="Hyperlink"/>
            <w:rFonts w:ascii="Times New Roman" w:hAnsi="Times New Roman" w:cs="Times New Roman"/>
            <w:sz w:val="24"/>
            <w:szCs w:val="24"/>
          </w:rPr>
          <w:t>-2017/</w:t>
        </w:r>
        <w:r w:rsidRPr="00100353">
          <w:rPr>
            <w:rStyle w:val="Hyperlink"/>
            <w:rFonts w:ascii="Times New Roman" w:hAnsi="Times New Roman" w:cs="Times New Roman"/>
            <w:sz w:val="24"/>
            <w:szCs w:val="24"/>
            <w:lang w:val="en-US"/>
          </w:rPr>
          <w:t>en</w:t>
        </w:r>
        <w:r w:rsidRPr="00BD6761">
          <w:rPr>
            <w:rStyle w:val="Hyperlink"/>
            <w:rFonts w:ascii="Times New Roman" w:hAnsi="Times New Roman" w:cs="Times New Roman"/>
            <w:sz w:val="24"/>
            <w:szCs w:val="24"/>
          </w:rPr>
          <w:t>/</w:t>
        </w:r>
      </w:hyperlink>
    </w:p>
    <w:p w:rsidR="00823B1A" w:rsidRPr="00BD6761" w:rsidRDefault="00823B1A" w:rsidP="00823B1A">
      <w:pPr>
        <w:jc w:val="both"/>
        <w:rPr>
          <w:rFonts w:ascii="Times New Roman" w:hAnsi="Times New Roman" w:cs="Times New Roman"/>
          <w:sz w:val="24"/>
          <w:szCs w:val="24"/>
          <w:lang w:val="en-US"/>
        </w:rPr>
      </w:pPr>
      <w:r>
        <w:rPr>
          <w:rFonts w:ascii="Times New Roman" w:hAnsi="Times New Roman" w:cs="Times New Roman"/>
          <w:sz w:val="24"/>
          <w:szCs w:val="24"/>
        </w:rPr>
        <w:t>Ссылки</w:t>
      </w:r>
      <w:r w:rsidRPr="00BD6761">
        <w:rPr>
          <w:rFonts w:ascii="Times New Roman" w:hAnsi="Times New Roman" w:cs="Times New Roman"/>
          <w:sz w:val="24"/>
          <w:szCs w:val="24"/>
          <w:lang w:val="en-US"/>
        </w:rPr>
        <w:t>:</w:t>
      </w:r>
    </w:p>
    <w:p w:rsidR="00823B1A" w:rsidRPr="00BD6761" w:rsidRDefault="00823B1A" w:rsidP="00823B1A">
      <w:pPr>
        <w:jc w:val="both"/>
        <w:rPr>
          <w:rFonts w:ascii="Times New Roman" w:hAnsi="Times New Roman" w:cs="Times New Roman"/>
          <w:sz w:val="24"/>
          <w:szCs w:val="24"/>
          <w:lang w:val="en-US"/>
        </w:rPr>
      </w:pPr>
      <w:r w:rsidRPr="00BD6761">
        <w:rPr>
          <w:rFonts w:ascii="Times New Roman" w:hAnsi="Times New Roman" w:cs="Times New Roman"/>
          <w:sz w:val="24"/>
          <w:szCs w:val="24"/>
          <w:lang w:val="en-US"/>
        </w:rPr>
        <w:t>1. World Health Organization. World Malaria Report 2017. 2017.</w:t>
      </w:r>
    </w:p>
    <w:p w:rsidR="00823B1A" w:rsidRPr="00BD6761" w:rsidRDefault="00823B1A" w:rsidP="00823B1A">
      <w:pPr>
        <w:jc w:val="both"/>
        <w:rPr>
          <w:rFonts w:ascii="Times New Roman" w:hAnsi="Times New Roman" w:cs="Times New Roman"/>
          <w:sz w:val="24"/>
          <w:szCs w:val="24"/>
          <w:lang w:val="en-US"/>
        </w:rPr>
      </w:pPr>
      <w:r w:rsidRPr="00BD6761">
        <w:rPr>
          <w:rFonts w:ascii="Times New Roman" w:hAnsi="Times New Roman" w:cs="Times New Roman"/>
          <w:sz w:val="24"/>
          <w:szCs w:val="24"/>
          <w:lang w:val="en-US"/>
        </w:rPr>
        <w:t>2. World Health Organization. World Malaria Report 2008 [Internet]. Geneva: World Health</w:t>
      </w:r>
      <w:r w:rsidRPr="00823B1A">
        <w:rPr>
          <w:rFonts w:ascii="Times New Roman" w:hAnsi="Times New Roman" w:cs="Times New Roman"/>
          <w:sz w:val="24"/>
          <w:szCs w:val="24"/>
          <w:lang w:val="en-US"/>
        </w:rPr>
        <w:t xml:space="preserve"> </w:t>
      </w:r>
      <w:r w:rsidRPr="00BD6761">
        <w:rPr>
          <w:rFonts w:ascii="Times New Roman" w:hAnsi="Times New Roman" w:cs="Times New Roman"/>
          <w:sz w:val="24"/>
          <w:szCs w:val="24"/>
          <w:lang w:val="en-US"/>
        </w:rPr>
        <w:t xml:space="preserve">Organization; 2008. Available from: </w:t>
      </w:r>
    </w:p>
    <w:p w:rsidR="00823B1A" w:rsidRPr="00BD6761" w:rsidRDefault="00823B1A" w:rsidP="00823B1A">
      <w:pPr>
        <w:jc w:val="both"/>
        <w:rPr>
          <w:rFonts w:ascii="Times New Roman" w:hAnsi="Times New Roman" w:cs="Times New Roman"/>
          <w:sz w:val="24"/>
          <w:szCs w:val="24"/>
          <w:lang w:val="en-US"/>
        </w:rPr>
      </w:pPr>
      <w:r w:rsidRPr="00BD6761">
        <w:rPr>
          <w:rFonts w:ascii="Times New Roman" w:hAnsi="Times New Roman" w:cs="Times New Roman"/>
          <w:sz w:val="24"/>
          <w:szCs w:val="24"/>
          <w:lang w:val="en-US"/>
        </w:rPr>
        <w:t>http://apps.who.int/iris/bitstream/10665/43939/1/9789241563697_eng.pdf</w:t>
      </w:r>
    </w:p>
    <w:p w:rsidR="00823B1A" w:rsidRPr="00BD6761" w:rsidRDefault="00823B1A" w:rsidP="00823B1A">
      <w:pPr>
        <w:jc w:val="both"/>
        <w:rPr>
          <w:rFonts w:ascii="Times New Roman" w:hAnsi="Times New Roman" w:cs="Times New Roman"/>
          <w:sz w:val="24"/>
          <w:szCs w:val="24"/>
          <w:lang w:val="en-US"/>
        </w:rPr>
      </w:pPr>
      <w:r w:rsidRPr="00BD6761">
        <w:rPr>
          <w:rFonts w:ascii="Times New Roman" w:hAnsi="Times New Roman" w:cs="Times New Roman"/>
          <w:sz w:val="24"/>
          <w:szCs w:val="24"/>
          <w:lang w:val="en-US"/>
        </w:rPr>
        <w:t>3. Cibulskis RE, Aregawi M, Williams R, Otten M, Dye C. Worldwide Incidence of Malaria in 2009: Estimates, Time Trends, and a Critique of Methods. Mueller I, editor. PLoS Med. 2011 Dec</w:t>
      </w:r>
      <w:r w:rsidRPr="00823B1A">
        <w:rPr>
          <w:rFonts w:ascii="Times New Roman" w:hAnsi="Times New Roman" w:cs="Times New Roman"/>
          <w:sz w:val="24"/>
          <w:szCs w:val="24"/>
          <w:lang w:val="en-US"/>
        </w:rPr>
        <w:t xml:space="preserve"> </w:t>
      </w:r>
      <w:r w:rsidRPr="00BD6761">
        <w:rPr>
          <w:rFonts w:ascii="Times New Roman" w:hAnsi="Times New Roman" w:cs="Times New Roman"/>
          <w:sz w:val="24"/>
          <w:szCs w:val="24"/>
          <w:lang w:val="en-US"/>
        </w:rPr>
        <w:t>20;8(12):e1001142.</w:t>
      </w:r>
    </w:p>
    <w:p w:rsidR="00823B1A" w:rsidRPr="00BD6761" w:rsidRDefault="00823B1A" w:rsidP="00823B1A">
      <w:pPr>
        <w:jc w:val="both"/>
        <w:rPr>
          <w:rFonts w:ascii="Times New Roman" w:hAnsi="Times New Roman" w:cs="Times New Roman"/>
          <w:sz w:val="24"/>
          <w:szCs w:val="24"/>
          <w:lang w:val="en-US"/>
        </w:rPr>
      </w:pPr>
      <w:r w:rsidRPr="00BD6761">
        <w:rPr>
          <w:rFonts w:ascii="Times New Roman" w:hAnsi="Times New Roman" w:cs="Times New Roman"/>
          <w:sz w:val="24"/>
          <w:szCs w:val="24"/>
          <w:lang w:val="en-US"/>
        </w:rPr>
        <w:t>4. R Core Team. R: A Language and Environment for Statistical Computing [Internet]. Vienna, Austria: R</w:t>
      </w:r>
      <w:r w:rsidRPr="00823B1A">
        <w:rPr>
          <w:rFonts w:ascii="Times New Roman" w:hAnsi="Times New Roman" w:cs="Times New Roman"/>
          <w:sz w:val="24"/>
          <w:szCs w:val="24"/>
          <w:lang w:val="en-US"/>
        </w:rPr>
        <w:t xml:space="preserve"> </w:t>
      </w:r>
      <w:r w:rsidRPr="00BD6761">
        <w:rPr>
          <w:rFonts w:ascii="Times New Roman" w:hAnsi="Times New Roman" w:cs="Times New Roman"/>
          <w:sz w:val="24"/>
          <w:szCs w:val="24"/>
          <w:lang w:val="en-US"/>
        </w:rPr>
        <w:t>Foundation for Statistical Computing; 2016. Available from: http://www.R-project.org/</w:t>
      </w:r>
    </w:p>
    <w:p w:rsidR="00823B1A" w:rsidRPr="00BD6761" w:rsidRDefault="00823B1A" w:rsidP="00823B1A">
      <w:pPr>
        <w:jc w:val="both"/>
        <w:rPr>
          <w:rFonts w:ascii="Times New Roman" w:hAnsi="Times New Roman" w:cs="Times New Roman"/>
          <w:sz w:val="24"/>
          <w:szCs w:val="24"/>
          <w:lang w:val="en-US"/>
        </w:rPr>
      </w:pPr>
      <w:r w:rsidRPr="00BD6761">
        <w:rPr>
          <w:rFonts w:ascii="Times New Roman" w:hAnsi="Times New Roman" w:cs="Times New Roman"/>
          <w:sz w:val="24"/>
          <w:szCs w:val="24"/>
          <w:lang w:val="en-US"/>
        </w:rPr>
        <w:t>5. Ruckdeschel P, Kohl M, Stabla T, Camphausen F. S4 Classes for Distributions. R News. 2006</w:t>
      </w:r>
      <w:r w:rsidRPr="00A25CD1">
        <w:rPr>
          <w:rFonts w:ascii="Times New Roman" w:hAnsi="Times New Roman" w:cs="Times New Roman"/>
          <w:sz w:val="24"/>
          <w:szCs w:val="24"/>
          <w:lang w:val="en-US"/>
        </w:rPr>
        <w:t xml:space="preserve"> </w:t>
      </w:r>
      <w:r w:rsidRPr="00BD6761">
        <w:rPr>
          <w:rFonts w:ascii="Times New Roman" w:hAnsi="Times New Roman" w:cs="Times New Roman"/>
          <w:sz w:val="24"/>
          <w:szCs w:val="24"/>
          <w:lang w:val="en-US"/>
        </w:rPr>
        <w:t>May;6(2):2–6.</w:t>
      </w:r>
    </w:p>
    <w:p w:rsidR="00823B1A" w:rsidRPr="00BD6761" w:rsidRDefault="00823B1A" w:rsidP="00823B1A">
      <w:pPr>
        <w:jc w:val="both"/>
        <w:rPr>
          <w:rFonts w:ascii="Times New Roman" w:hAnsi="Times New Roman" w:cs="Times New Roman"/>
          <w:sz w:val="24"/>
          <w:szCs w:val="24"/>
          <w:lang w:val="en-US"/>
        </w:rPr>
      </w:pPr>
      <w:r w:rsidRPr="00BD6761">
        <w:rPr>
          <w:rFonts w:ascii="Times New Roman" w:hAnsi="Times New Roman" w:cs="Times New Roman"/>
          <w:sz w:val="24"/>
          <w:szCs w:val="24"/>
          <w:lang w:val="en-US"/>
        </w:rPr>
        <w:t>6. Ruckdeschel P, Kohl M. General Purpose Convolution Algorithm in S4 Classes by Means of FFT. J Stat</w:t>
      </w:r>
      <w:r w:rsidRPr="00A25CD1">
        <w:rPr>
          <w:rFonts w:ascii="Times New Roman" w:hAnsi="Times New Roman" w:cs="Times New Roman"/>
          <w:sz w:val="24"/>
          <w:szCs w:val="24"/>
          <w:lang w:val="en-US"/>
        </w:rPr>
        <w:t xml:space="preserve"> </w:t>
      </w:r>
      <w:r w:rsidRPr="00BD6761">
        <w:rPr>
          <w:rFonts w:ascii="Times New Roman" w:hAnsi="Times New Roman" w:cs="Times New Roman"/>
          <w:sz w:val="24"/>
          <w:szCs w:val="24"/>
          <w:lang w:val="en-US"/>
        </w:rPr>
        <w:t>Softw. 2014;59(4):1–25.</w:t>
      </w:r>
    </w:p>
    <w:p w:rsidR="00823B1A" w:rsidRDefault="00823B1A" w:rsidP="00823B1A">
      <w:pPr>
        <w:jc w:val="both"/>
        <w:rPr>
          <w:rFonts w:ascii="Times New Roman" w:hAnsi="Times New Roman" w:cs="Times New Roman"/>
          <w:sz w:val="24"/>
          <w:szCs w:val="24"/>
        </w:rPr>
      </w:pPr>
      <w:r w:rsidRPr="00BD6761">
        <w:rPr>
          <w:rFonts w:ascii="Times New Roman" w:hAnsi="Times New Roman" w:cs="Times New Roman"/>
          <w:sz w:val="24"/>
          <w:szCs w:val="24"/>
          <w:lang w:val="en-US"/>
        </w:rPr>
        <w:t>7. Bhatt S, Weiss DJ, Cameron E, Bisanzio D, Mappin B, Dalrymple U, et al. The effect of malaria control on Plasmodium falciparum in Africa between 2000 and 2015. Nature. 2015 Oct 8;526(7572):207–11.</w:t>
      </w:r>
    </w:p>
    <w:p w:rsidR="00823B1A" w:rsidRDefault="00823B1A" w:rsidP="00823B1A">
      <w:pPr>
        <w:jc w:val="both"/>
        <w:rPr>
          <w:rFonts w:ascii="Times New Roman" w:hAnsi="Times New Roman" w:cs="Times New Roman"/>
          <w:b/>
          <w:sz w:val="24"/>
          <w:szCs w:val="24"/>
        </w:rPr>
      </w:pPr>
      <w:r w:rsidRPr="00BD6761">
        <w:rPr>
          <w:rFonts w:ascii="Times New Roman" w:hAnsi="Times New Roman" w:cs="Times New Roman"/>
          <w:b/>
          <w:sz w:val="24"/>
          <w:szCs w:val="24"/>
        </w:rPr>
        <w:t>Связанные индикаторы:</w:t>
      </w:r>
    </w:p>
    <w:p w:rsidR="00823B1A" w:rsidRPr="00BD6761" w:rsidRDefault="00823B1A" w:rsidP="00823B1A">
      <w:pPr>
        <w:jc w:val="both"/>
        <w:rPr>
          <w:rFonts w:ascii="Times New Roman" w:hAnsi="Times New Roman" w:cs="Times New Roman"/>
          <w:sz w:val="24"/>
          <w:szCs w:val="24"/>
        </w:rPr>
      </w:pPr>
      <w:r>
        <w:rPr>
          <w:rFonts w:ascii="Times New Roman" w:hAnsi="Times New Roman" w:cs="Times New Roman"/>
          <w:sz w:val="24"/>
          <w:szCs w:val="24"/>
        </w:rPr>
        <w:lastRenderedPageBreak/>
        <w:t>Не применимо</w:t>
      </w:r>
    </w:p>
    <w:p w:rsidR="00BD6761" w:rsidRPr="00823B1A" w:rsidRDefault="00BD6761" w:rsidP="00823B1A">
      <w:bookmarkStart w:id="0" w:name="_GoBack"/>
      <w:bookmarkEnd w:id="0"/>
    </w:p>
    <w:sectPr w:rsidR="00BD6761" w:rsidRPr="00823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7A7B"/>
    <w:multiLevelType w:val="hybridMultilevel"/>
    <w:tmpl w:val="4AD66D94"/>
    <w:lvl w:ilvl="0" w:tplc="81A0554A">
      <w:start w:val="1"/>
      <w:numFmt w:val="low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A23112"/>
    <w:multiLevelType w:val="hybridMultilevel"/>
    <w:tmpl w:val="938A8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350185"/>
    <w:multiLevelType w:val="hybridMultilevel"/>
    <w:tmpl w:val="0EEE0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994177"/>
    <w:multiLevelType w:val="hybridMultilevel"/>
    <w:tmpl w:val="86002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7D8"/>
    <w:rsid w:val="000B61D2"/>
    <w:rsid w:val="00172BF5"/>
    <w:rsid w:val="001B5506"/>
    <w:rsid w:val="002659CF"/>
    <w:rsid w:val="002A3960"/>
    <w:rsid w:val="002F485D"/>
    <w:rsid w:val="005E16C1"/>
    <w:rsid w:val="006E5459"/>
    <w:rsid w:val="00823B1A"/>
    <w:rsid w:val="00844180"/>
    <w:rsid w:val="00937A60"/>
    <w:rsid w:val="009B0DC4"/>
    <w:rsid w:val="00A34C85"/>
    <w:rsid w:val="00AF778E"/>
    <w:rsid w:val="00BD6761"/>
    <w:rsid w:val="00D37674"/>
    <w:rsid w:val="00D847D8"/>
    <w:rsid w:val="00EB2F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1D2"/>
    <w:pPr>
      <w:ind w:left="720"/>
      <w:contextualSpacing/>
    </w:pPr>
  </w:style>
  <w:style w:type="character" w:styleId="PlaceholderText">
    <w:name w:val="Placeholder Text"/>
    <w:basedOn w:val="DefaultParagraphFont"/>
    <w:uiPriority w:val="99"/>
    <w:semiHidden/>
    <w:rsid w:val="002F485D"/>
    <w:rPr>
      <w:color w:val="808080"/>
    </w:rPr>
  </w:style>
  <w:style w:type="paragraph" w:styleId="BalloonText">
    <w:name w:val="Balloon Text"/>
    <w:basedOn w:val="Normal"/>
    <w:link w:val="BalloonTextChar"/>
    <w:uiPriority w:val="99"/>
    <w:semiHidden/>
    <w:unhideWhenUsed/>
    <w:rsid w:val="002F4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5D"/>
    <w:rPr>
      <w:rFonts w:ascii="Tahoma" w:hAnsi="Tahoma" w:cs="Tahoma"/>
      <w:sz w:val="16"/>
      <w:szCs w:val="16"/>
    </w:rPr>
  </w:style>
  <w:style w:type="character" w:styleId="Hyperlink">
    <w:name w:val="Hyperlink"/>
    <w:basedOn w:val="DefaultParagraphFont"/>
    <w:uiPriority w:val="99"/>
    <w:unhideWhenUsed/>
    <w:rsid w:val="00D376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malaria/publications/world-malaria-report-2017/en/" TargetMode="External"/><Relationship Id="rId5" Type="http://schemas.openxmlformats.org/officeDocument/2006/relationships/hyperlink" Target="http://www.map.ox.ac.uk/making-map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Microsoft Office User</cp:lastModifiedBy>
  <cp:revision>3</cp:revision>
  <dcterms:created xsi:type="dcterms:W3CDTF">2018-04-24T09:51:00Z</dcterms:created>
  <dcterms:modified xsi:type="dcterms:W3CDTF">2021-08-19T10:07:00Z</dcterms:modified>
</cp:coreProperties>
</file>