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96255" w:rsidR="006C4BFD" w:rsidP="006C4BFD" w:rsidRDefault="006C4BFD" w14:paraId="5F127BA6" w14:textId="77777777">
      <w:pPr>
        <w:spacing w:after="0"/>
        <w:jc w:val="center"/>
        <w:rPr>
          <w:rFonts w:cs="Calibri"/>
        </w:rPr>
      </w:pPr>
      <w:r w:rsidRPr="00A96255">
        <w:rPr>
          <w:rFonts w:eastAsia="Times New Roman" w:cs="Calibri"/>
          <w:color w:val="1C75BC"/>
          <w:sz w:val="36"/>
          <w:szCs w:val="36"/>
          <w:lang w:eastAsia="en-GB"/>
        </w:rPr>
        <w:t>SDG indicator metadata</w:t>
      </w:r>
    </w:p>
    <w:p w:rsidRPr="00A96255" w:rsidR="006C4BFD" w:rsidP="006C4BFD" w:rsidRDefault="002C2510" w14:paraId="129054E9" w14:textId="2E583254">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rsidRPr="00A96255" w:rsidR="006C4BFD" w:rsidP="006C4BFD" w:rsidRDefault="006C4BFD" w14:paraId="773F63CF" w14:textId="77777777">
      <w:pPr>
        <w:spacing w:after="0"/>
        <w:rPr>
          <w:rFonts w:eastAsia="Times New Roman" w:cs="Times New Roman"/>
          <w:b/>
          <w:bCs/>
          <w:color w:val="4A4A4A"/>
          <w:sz w:val="21"/>
          <w:szCs w:val="21"/>
          <w:lang w:eastAsia="en-GB"/>
        </w:rPr>
      </w:pPr>
    </w:p>
    <w:p w:rsidRPr="00A96255" w:rsidR="00B31E2C" w:rsidP="00EA05D3" w:rsidRDefault="00B31E2C" w14:paraId="6AEAC6DA" w14:textId="6C7C2D3A">
      <w:pPr>
        <w:pStyle w:val="MIndHeader2"/>
      </w:pPr>
      <w:r w:rsidRPr="00A96255">
        <w:t>0. Indicator information</w:t>
      </w:r>
    </w:p>
    <w:p w:rsidRPr="00A96255" w:rsidR="00D24330" w:rsidP="00EA05D3" w:rsidRDefault="00D24330" w14:paraId="043ED752" w14:textId="28D7692E">
      <w:pPr>
        <w:pStyle w:val="MIndHeader"/>
      </w:pPr>
      <w:r w:rsidRPr="00A96255">
        <w:t xml:space="preserve">0.a. </w:t>
      </w:r>
      <w:r w:rsidRPr="00EA05D3">
        <w:t>Goal</w:t>
      </w:r>
    </w:p>
    <w:p w:rsidRPr="00A96255" w:rsidR="00D24330" w:rsidP="002F5F0C" w:rsidRDefault="00F7390A" w14:paraId="0C615824" w14:textId="553ECA7F">
      <w:pPr>
        <w:pStyle w:val="MGTHeader"/>
      </w:pPr>
      <w:r w:rsidRPr="00F7390A">
        <w:t>Goal 2: End hunger, achieve food security and improved nutrition and promote sustainable agriculture</w:t>
      </w:r>
    </w:p>
    <w:p w:rsidRPr="00A96255" w:rsidR="00D24330" w:rsidP="00D24330" w:rsidRDefault="00D24330" w14:paraId="084142D2" w14:textId="77777777">
      <w:pPr>
        <w:pStyle w:val="MIndHeader"/>
      </w:pPr>
      <w:r w:rsidRPr="00A96255">
        <w:t>0.b. Target</w:t>
      </w:r>
    </w:p>
    <w:p w:rsidRPr="00A96255" w:rsidR="00D24330" w:rsidP="00D24330" w:rsidRDefault="00F7390A" w14:paraId="0D7F1B46" w14:textId="206FB9B3">
      <w:pPr>
        <w:pStyle w:val="MGTHeader"/>
      </w:pPr>
      <w:r w:rsidRPr="00F7390A">
        <w:t xml:space="preserve">Target 2.a: Increase investment, including through enhanced international cooperation, in rural infrastructure, agricultural research and extension services, technology development and plant and livestock gene banks </w:t>
      </w:r>
      <w:proofErr w:type="gramStart"/>
      <w:r w:rsidRPr="00F7390A">
        <w:t>in order to</w:t>
      </w:r>
      <w:proofErr w:type="gramEnd"/>
      <w:r w:rsidRPr="00F7390A">
        <w:t xml:space="preserve"> enhance agricultural productive capacity in developing countries, in particular least developed countries</w:t>
      </w:r>
    </w:p>
    <w:p w:rsidRPr="00A96255" w:rsidR="00D24330" w:rsidP="00D24330" w:rsidRDefault="00D24330" w14:paraId="3E67E7E0" w14:textId="77777777">
      <w:pPr>
        <w:pStyle w:val="MIndHeader"/>
      </w:pPr>
      <w:r w:rsidRPr="00A96255">
        <w:t>0.c. Indicator</w:t>
      </w:r>
    </w:p>
    <w:p w:rsidRPr="00A96255" w:rsidR="00D24330" w:rsidP="00D24330" w:rsidRDefault="00F7390A" w14:paraId="6045F6C3" w14:textId="3CB0240A">
      <w:pPr>
        <w:pStyle w:val="MGTHeader"/>
      </w:pPr>
      <w:r w:rsidRPr="00F7390A">
        <w:t>Indicator 2.a.2: Total official flows (official development assistance plus other official flows) to the agriculture sector</w:t>
      </w:r>
    </w:p>
    <w:p w:rsidRPr="00A96255" w:rsidR="00D24330" w:rsidP="00D24330" w:rsidRDefault="00D24330" w14:paraId="37E5E4F6" w14:textId="77777777">
      <w:pPr>
        <w:pStyle w:val="MIndHeader"/>
      </w:pPr>
      <w:r w:rsidRPr="00A96255">
        <w:t>0.d. Series</w:t>
      </w:r>
    </w:p>
    <w:p w:rsidR="001E55E0" w:rsidP="00D24330" w:rsidRDefault="001E55E0" w14:paraId="469A5A9D" w14:textId="77777777">
      <w:pPr>
        <w:pStyle w:val="MIndHeader"/>
      </w:pPr>
    </w:p>
    <w:p w:rsidRPr="00A96255" w:rsidR="00D24330" w:rsidP="00D24330" w:rsidRDefault="00D24330" w14:paraId="157DACE7" w14:textId="3A96CF45">
      <w:pPr>
        <w:pStyle w:val="MIndHeader"/>
      </w:pPr>
      <w:r w:rsidRPr="00A96255">
        <w:t>0.e. Metadata update</w:t>
      </w:r>
    </w:p>
    <w:p w:rsidRPr="00A96255" w:rsidR="00D24330" w:rsidP="00D24330" w:rsidRDefault="00F7390A" w14:paraId="03424B60" w14:textId="4DC95135">
      <w:pPr>
        <w:pStyle w:val="MGTHeader"/>
      </w:pPr>
      <w:r w:rsidR="00F7390A">
        <w:rPr/>
        <w:t>2017</w:t>
      </w:r>
      <w:r w:rsidR="058AA82C">
        <w:rPr/>
        <w:t>-07-09</w:t>
      </w:r>
    </w:p>
    <w:p w:rsidRPr="00A96255" w:rsidR="00D24330" w:rsidP="00D24330" w:rsidRDefault="00D24330" w14:paraId="415C9FF1" w14:textId="77777777">
      <w:pPr>
        <w:pStyle w:val="MIndHeader"/>
      </w:pPr>
      <w:r w:rsidRPr="00A96255">
        <w:t>0.f. Related indicators</w:t>
      </w:r>
    </w:p>
    <w:p w:rsidRPr="00A96255" w:rsidR="00D24330" w:rsidP="00D24330" w:rsidRDefault="00F7390A" w14:paraId="21524279" w14:textId="1D5DF396">
      <w:pPr>
        <w:pStyle w:val="MGTHeader"/>
      </w:pPr>
      <w:r>
        <w:t>Other ODA indicators</w:t>
      </w:r>
    </w:p>
    <w:p w:rsidRPr="00A96255" w:rsidR="00D24330" w:rsidP="00D24330" w:rsidRDefault="00D24330" w14:paraId="077BC49E" w14:textId="77777777">
      <w:pPr>
        <w:pStyle w:val="MIndHeader"/>
      </w:pPr>
      <w:r w:rsidRPr="00A96255">
        <w:t>0.g. International organisations(s) responsible for global monitoring</w:t>
      </w:r>
    </w:p>
    <w:p w:rsidRPr="00A96255" w:rsidR="00621893" w:rsidP="00D24330" w:rsidRDefault="00F7390A" w14:paraId="0393368E" w14:textId="0E56CB7F">
      <w:pPr>
        <w:pStyle w:val="MGTHeader"/>
        <w:rPr>
          <w:color w:val="4A4A4A"/>
        </w:rPr>
      </w:pPr>
      <w:r w:rsidRPr="00F7390A">
        <w:t>Organisation for Economic Co-operation and Development (OECD)</w:t>
      </w:r>
    </w:p>
    <w:p w:rsidRPr="00A96255" w:rsidR="008D1D39" w:rsidP="00573631" w:rsidRDefault="008D1D39" w14:paraId="19F29921" w14:textId="77777777">
      <w:pPr>
        <w:shd w:val="clear" w:color="auto" w:fill="FFFFFF"/>
        <w:spacing w:after="0"/>
        <w:rPr>
          <w:rFonts w:eastAsia="Times New Roman" w:cs="Times New Roman"/>
          <w:color w:val="4A4A4A"/>
          <w:sz w:val="21"/>
          <w:szCs w:val="21"/>
          <w:lang w:eastAsia="en-GB"/>
        </w:rPr>
      </w:pPr>
    </w:p>
    <w:p w:rsidRPr="00EA05D3" w:rsidR="00B31E2C" w:rsidP="00EA05D3" w:rsidRDefault="00B31E2C" w14:paraId="12E0D73A" w14:textId="48126E58">
      <w:pPr>
        <w:pStyle w:val="MHeader"/>
      </w:pPr>
      <w:bookmarkStart w:name="_Toc37932744" w:id="0"/>
      <w:bookmarkStart w:name="_Toc36813072" w:id="1"/>
      <w:bookmarkStart w:name="_Toc36812685" w:id="2"/>
      <w:bookmarkStart w:name="_Toc36812572" w:id="3"/>
      <w:bookmarkStart w:name="_Toc36655609" w:id="4"/>
      <w:r w:rsidRPr="00EA05D3">
        <w:t>1. Data reporter</w:t>
      </w:r>
      <w:bookmarkEnd w:id="0"/>
      <w:bookmarkEnd w:id="1"/>
      <w:bookmarkEnd w:id="2"/>
      <w:bookmarkEnd w:id="3"/>
      <w:bookmarkEnd w:id="4"/>
    </w:p>
    <w:p w:rsidRPr="00A96255" w:rsidR="00576CFA" w:rsidP="00F719A8" w:rsidRDefault="00576CFA" w14:paraId="0BD77982" w14:textId="72DFE854">
      <w:pPr>
        <w:pStyle w:val="MHeader2"/>
      </w:pPr>
      <w:r w:rsidRPr="00A96255">
        <w:t>1.a. Organisation</w:t>
      </w:r>
    </w:p>
    <w:p w:rsidR="00576CFA" w:rsidP="00576CFA" w:rsidRDefault="00F7390A" w14:paraId="065F26D2" w14:textId="472D29EC">
      <w:pPr>
        <w:pStyle w:val="MText"/>
      </w:pPr>
      <w:r w:rsidRPr="00F7390A">
        <w:t>Organisation for Economic Co-operation and Development (OECD)</w:t>
      </w:r>
    </w:p>
    <w:p w:rsidR="00F719A8" w:rsidP="00576CFA" w:rsidRDefault="00F719A8" w14:paraId="6E829FD0" w14:textId="2439F30A">
      <w:pPr>
        <w:pStyle w:val="MText"/>
      </w:pPr>
    </w:p>
    <w:p w:rsidRPr="00A96255" w:rsidR="00B31E2C" w:rsidP="008B0AC7" w:rsidRDefault="00B31E2C" w14:paraId="14915AC8" w14:textId="7D506133">
      <w:pPr>
        <w:pStyle w:val="MHeader"/>
      </w:pPr>
      <w:r w:rsidRPr="00A96255">
        <w:t>2. Definition, concepts, and classifications</w:t>
      </w:r>
    </w:p>
    <w:p w:rsidRPr="00A96255" w:rsidR="008B0AC7" w:rsidP="00F719A8" w:rsidRDefault="008B0AC7" w14:paraId="2AC373EA" w14:textId="44236363">
      <w:pPr>
        <w:pStyle w:val="MHeader2"/>
      </w:pPr>
      <w:r w:rsidRPr="00A96255">
        <w:t>2.a. Definition and concepts</w:t>
      </w:r>
    </w:p>
    <w:p w:rsidR="00F7390A" w:rsidP="00F7390A" w:rsidRDefault="00F7390A" w14:paraId="353BB692" w14:textId="77777777">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Definition:</w:t>
      </w:r>
    </w:p>
    <w:p w:rsidR="00F7390A" w:rsidP="00F7390A" w:rsidRDefault="00F7390A" w14:paraId="494C058C"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Gross disbursements of total ODA and other official flows from all donors to the agriculture sector.</w:t>
      </w:r>
    </w:p>
    <w:p w:rsidR="00F7390A" w:rsidP="00F7390A" w:rsidRDefault="00F7390A" w14:paraId="047DB609" w14:textId="77777777">
      <w:pPr>
        <w:shd w:val="clear" w:color="auto" w:fill="FFFFFF"/>
        <w:spacing w:after="0"/>
        <w:rPr>
          <w:rFonts w:eastAsia="Times New Roman" w:cs="Times New Roman"/>
          <w:color w:val="4A4A4A"/>
          <w:sz w:val="21"/>
          <w:szCs w:val="21"/>
          <w:lang w:eastAsia="en-GB"/>
        </w:rPr>
      </w:pPr>
    </w:p>
    <w:p w:rsidR="00F7390A" w:rsidP="00F7390A" w:rsidRDefault="00F7390A" w14:paraId="33C53D0A" w14:textId="77777777">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Concepts:</w:t>
      </w:r>
    </w:p>
    <w:p w:rsidR="00F7390A" w:rsidP="00F7390A" w:rsidRDefault="00F7390A" w14:paraId="558E435B"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ODA: The DAC defines ODA as “those flows to countries and territories on the DAC List of ODA Recipients and to multilateral institutions which are </w:t>
      </w:r>
    </w:p>
    <w:p w:rsidR="00F7390A" w:rsidP="00F7390A" w:rsidRDefault="00F7390A" w14:paraId="4DBAD53F" w14:textId="77777777">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provided by official agencies, including state and local governments, or by their executive agencies; and </w:t>
      </w:r>
    </w:p>
    <w:p w:rsidR="00F7390A" w:rsidP="00F7390A" w:rsidRDefault="00F7390A" w14:paraId="1393ADE7" w14:textId="77777777">
      <w:pPr>
        <w:pStyle w:val="ListParagraph"/>
        <w:numPr>
          <w:ilvl w:val="0"/>
          <w:numId w:val="5"/>
        </w:num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each transaction   is administered with the promotion of the economic development and welfare of developing countries as its main objective; and</w:t>
      </w:r>
    </w:p>
    <w:p w:rsidR="00F7390A" w:rsidP="00F7390A" w:rsidRDefault="00F7390A" w14:paraId="23832C7E"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is concessional in character and conveys a grant element of at least 25 per cent (calculated at a rate of discount of 10 per cent). (See </w:t>
      </w:r>
      <w:hyperlink w:history="1" r:id="rId11">
        <w:r>
          <w:rPr>
            <w:rStyle w:val="Hyperlink"/>
            <w:rFonts w:eastAsia="Times New Roman" w:cs="Times New Roman"/>
            <w:sz w:val="21"/>
            <w:szCs w:val="21"/>
            <w:lang w:eastAsia="en-GB"/>
          </w:rPr>
          <w:t>http://www.oecd.org/dac/stats/officialdevelopmentassistancedefinitionandcoverage.htm</w:t>
        </w:r>
      </w:hyperlink>
      <w:r>
        <w:rPr>
          <w:rFonts w:eastAsia="Times New Roman" w:cs="Times New Roman"/>
          <w:color w:val="4A4A4A"/>
          <w:sz w:val="21"/>
          <w:szCs w:val="21"/>
          <w:lang w:eastAsia="en-GB"/>
        </w:rPr>
        <w:t>)</w:t>
      </w:r>
    </w:p>
    <w:p w:rsidR="00F7390A" w:rsidP="00F7390A" w:rsidRDefault="00F7390A" w14:paraId="7A4EB2BD" w14:textId="77777777">
      <w:pPr>
        <w:shd w:val="clear" w:color="auto" w:fill="FFFFFF"/>
        <w:spacing w:after="0"/>
        <w:rPr>
          <w:rFonts w:eastAsia="Times New Roman" w:cs="Times New Roman"/>
          <w:color w:val="4A4A4A"/>
          <w:sz w:val="21"/>
          <w:szCs w:val="21"/>
          <w:lang w:eastAsia="en-GB"/>
        </w:rPr>
      </w:pPr>
    </w:p>
    <w:p w:rsidR="00F7390A" w:rsidP="00F7390A" w:rsidRDefault="00F7390A" w14:paraId="382BFC1D"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Other official flows (OOF): Other official flows (excluding officially supported export credits) are defined as transactions by the official sector which do not meet the conditions for eligibility as ODA, either because they are not primarily aimed at development, or because they are not sufficiently concessional.</w:t>
      </w:r>
    </w:p>
    <w:p w:rsidR="00F7390A" w:rsidP="00F7390A" w:rsidRDefault="00F7390A" w14:paraId="0A73BD54"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(See </w:t>
      </w:r>
      <w:hyperlink w:history="1" r:id="rId12">
        <w:r>
          <w:rPr>
            <w:rStyle w:val="Hyperlink"/>
            <w:rFonts w:eastAsia="Times New Roman" w:cs="Times New Roman"/>
            <w:sz w:val="21"/>
            <w:szCs w:val="21"/>
            <w:lang w:eastAsia="en-GB"/>
          </w:rPr>
          <w:t>http://www.oecd.org/dac/stats/documentupload/DCDDAC(2016)3FINAL.pdf</w:t>
        </w:r>
      </w:hyperlink>
      <w:r>
        <w:rPr>
          <w:rFonts w:eastAsia="Times New Roman" w:cs="Times New Roman"/>
          <w:color w:val="4A4A4A"/>
          <w:sz w:val="21"/>
          <w:szCs w:val="21"/>
          <w:lang w:eastAsia="en-GB"/>
        </w:rPr>
        <w:t>,  Para 24).</w:t>
      </w:r>
    </w:p>
    <w:p w:rsidR="00F7390A" w:rsidP="00F7390A" w:rsidRDefault="00F7390A" w14:paraId="1532FC5C" w14:textId="77777777">
      <w:pPr>
        <w:shd w:val="clear" w:color="auto" w:fill="FFFFFF"/>
        <w:spacing w:after="0"/>
        <w:rPr>
          <w:rFonts w:eastAsia="Times New Roman" w:cs="Times New Roman"/>
          <w:color w:val="4A4A4A"/>
          <w:sz w:val="21"/>
          <w:szCs w:val="21"/>
          <w:lang w:eastAsia="en-GB"/>
        </w:rPr>
      </w:pPr>
    </w:p>
    <w:p w:rsidRPr="00F7390A" w:rsidR="00EC2915" w:rsidP="00F7390A" w:rsidRDefault="00F7390A" w14:paraId="6E54D3D6" w14:textId="688C1D75">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The agriculture sector is as defined by the DAC and comprises all CRS sector codes in the 311 series (see here: http://www.oecd.org/dac/stats/purposecodessectorclassification.htm)</w:t>
      </w:r>
    </w:p>
    <w:p w:rsidRPr="00A96255" w:rsidR="00F7390A" w:rsidP="00576CFA" w:rsidRDefault="00F7390A" w14:paraId="2753F995" w14:textId="77777777">
      <w:pPr>
        <w:pStyle w:val="MText"/>
      </w:pPr>
    </w:p>
    <w:p w:rsidRPr="00A96255" w:rsidR="008B0AC7" w:rsidP="00F719A8" w:rsidRDefault="00576CFA" w14:paraId="7932F8BD" w14:textId="3869C451">
      <w:pPr>
        <w:pStyle w:val="MHeader2"/>
      </w:pPr>
      <w:r w:rsidRPr="00A96255">
        <w:t>2.b.</w:t>
      </w:r>
      <w:r w:rsidRPr="00A96255" w:rsidR="008B0AC7">
        <w:t xml:space="preserve"> Unit of measure</w:t>
      </w:r>
    </w:p>
    <w:p w:rsidR="00EC2915" w:rsidP="00576CFA" w:rsidRDefault="00EC2915" w14:paraId="548E9AAA" w14:textId="2A931CFE">
      <w:pPr>
        <w:pStyle w:val="MText"/>
      </w:pPr>
    </w:p>
    <w:p w:rsidRPr="00A96255" w:rsidR="001E55E0" w:rsidP="00576CFA" w:rsidRDefault="001E55E0" w14:paraId="68CBFB96" w14:textId="77777777">
      <w:pPr>
        <w:pStyle w:val="MText"/>
      </w:pPr>
    </w:p>
    <w:p w:rsidRPr="00A96255" w:rsidR="00DA615C" w:rsidP="00F719A8" w:rsidRDefault="008B0AC7" w14:paraId="651AA7AC" w14:textId="5144B8C4">
      <w:pPr>
        <w:pStyle w:val="MHeader2"/>
      </w:pPr>
      <w:r w:rsidRPr="00A96255">
        <w:t>2.c. Classifications</w:t>
      </w:r>
    </w:p>
    <w:p w:rsidR="00EC2915" w:rsidP="00576CFA" w:rsidRDefault="00EC2915" w14:paraId="3D384BA8" w14:textId="54711B4E">
      <w:pPr>
        <w:pStyle w:val="MText"/>
      </w:pPr>
    </w:p>
    <w:p w:rsidRPr="00A96255" w:rsidR="00F719A8" w:rsidP="00576CFA" w:rsidRDefault="00F719A8" w14:paraId="123172F4" w14:textId="77777777">
      <w:pPr>
        <w:pStyle w:val="MText"/>
      </w:pPr>
    </w:p>
    <w:p w:rsidRPr="00F719A8" w:rsidR="00B31E2C" w:rsidP="00F719A8" w:rsidRDefault="00B31E2C" w14:paraId="1D3AEECA" w14:textId="4C5EC949">
      <w:pPr>
        <w:pStyle w:val="MHeader"/>
      </w:pPr>
      <w:r w:rsidRPr="00F719A8">
        <w:t>3. Data source type and data collection method</w:t>
      </w:r>
    </w:p>
    <w:p w:rsidRPr="00A96255" w:rsidR="008B0AC7" w:rsidP="00F719A8" w:rsidRDefault="008B0AC7" w14:paraId="340B050E" w14:textId="31C09E5F">
      <w:pPr>
        <w:pStyle w:val="MHeader2"/>
      </w:pPr>
      <w:r w:rsidRPr="00A96255">
        <w:t>3.a. Data sources</w:t>
      </w:r>
    </w:p>
    <w:p w:rsidR="00F7390A" w:rsidP="00F7390A" w:rsidRDefault="00F7390A" w14:paraId="4088B436"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OECD/DAC has been collecting data on official and private resource flows from 1960 at an aggregate level and 1973 at an activity level through the Creditor Reporting System (CRS data are considered complete from 1995 for commitments at an activity level and 2002 for disbursements). </w:t>
      </w:r>
    </w:p>
    <w:p w:rsidR="00F7390A" w:rsidP="00F7390A" w:rsidRDefault="00F7390A" w14:paraId="57763F93" w14:textId="77777777">
      <w:pPr>
        <w:shd w:val="clear" w:color="auto" w:fill="FFFFFF"/>
        <w:spacing w:after="0"/>
        <w:rPr>
          <w:rFonts w:eastAsia="Times New Roman" w:cs="Times New Roman"/>
          <w:color w:val="4A4A4A"/>
          <w:sz w:val="21"/>
          <w:szCs w:val="21"/>
          <w:lang w:eastAsia="en-GB"/>
        </w:rPr>
      </w:pPr>
    </w:p>
    <w:p w:rsidR="00F7390A" w:rsidP="00F7390A" w:rsidRDefault="00F7390A" w14:paraId="6E71E0F0"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data are reported by donors according to the same standards and methodologies (see here: http://www.oecd.org/dac/stats/methodology.htm).  </w:t>
      </w:r>
    </w:p>
    <w:p w:rsidR="00F7390A" w:rsidP="00F7390A" w:rsidRDefault="00F7390A" w14:paraId="21CF3EAA" w14:textId="77777777">
      <w:pPr>
        <w:shd w:val="clear" w:color="auto" w:fill="FFFFFF"/>
        <w:spacing w:after="0"/>
        <w:rPr>
          <w:rFonts w:eastAsia="Times New Roman" w:cs="Times New Roman"/>
          <w:color w:val="4A4A4A"/>
          <w:sz w:val="21"/>
          <w:szCs w:val="21"/>
          <w:lang w:eastAsia="en-GB"/>
        </w:rPr>
      </w:pPr>
    </w:p>
    <w:p w:rsidRPr="00F7390A" w:rsidR="00576CFA" w:rsidP="00F7390A" w:rsidRDefault="00F7390A" w14:paraId="08E1C3DF" w14:textId="6B46C4B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reported on an annual calendar year basis by statistical reporters in national administrations (aid agencies, Ministries of Foreign Affairs or Finance, etc.</w:t>
      </w:r>
    </w:p>
    <w:p w:rsidRPr="00A96255" w:rsidR="00EC2915" w:rsidP="00576CFA" w:rsidRDefault="00EC2915" w14:paraId="3018A8D8" w14:textId="77777777">
      <w:pPr>
        <w:pStyle w:val="MText"/>
      </w:pPr>
    </w:p>
    <w:p w:rsidRPr="00A96255" w:rsidR="008B0AC7" w:rsidP="00F719A8" w:rsidRDefault="00576CFA" w14:paraId="79368080" w14:textId="32CB9C2E">
      <w:pPr>
        <w:pStyle w:val="MHeader2"/>
      </w:pPr>
      <w:r w:rsidRPr="00A96255">
        <w:t>3.b</w:t>
      </w:r>
      <w:r w:rsidRPr="00A96255" w:rsidR="008B0AC7">
        <w:t>. Data collection method</w:t>
      </w:r>
    </w:p>
    <w:p w:rsidRPr="00A96255" w:rsidR="00576CFA" w:rsidP="00576CFA" w:rsidRDefault="00F7390A" w14:paraId="5823FBC8" w14:textId="585EB329">
      <w:pPr>
        <w:pStyle w:val="MText"/>
      </w:pPr>
      <w:r>
        <w:t>A statistical reporter is responsible for the collection of DAC statistics in each providing country/agency. This reporter is usually located in the national aid agency, Ministry of Foreign Affairs or Finance etc.</w:t>
      </w:r>
      <w:r w:rsidRPr="00A96255" w:rsidR="00576CFA">
        <w:t xml:space="preserve"> </w:t>
      </w:r>
      <w:r w:rsidRPr="00A96255" w:rsidR="00576CFA">
        <w:tab/>
      </w:r>
    </w:p>
    <w:p w:rsidRPr="00A96255" w:rsidR="00EC2915" w:rsidP="00576CFA" w:rsidRDefault="00EC2915" w14:paraId="7D9F065F" w14:textId="77777777">
      <w:pPr>
        <w:pStyle w:val="MText"/>
      </w:pPr>
    </w:p>
    <w:p w:rsidRPr="00A96255" w:rsidR="00E46D96" w:rsidP="00F719A8" w:rsidRDefault="00E46D96" w14:paraId="170A2C05" w14:textId="34873ECA">
      <w:pPr>
        <w:pStyle w:val="MHeader2"/>
      </w:pPr>
      <w:r w:rsidRPr="00A96255">
        <w:t>3.c. Data collection calendar</w:t>
      </w:r>
    </w:p>
    <w:p w:rsidR="00F7390A" w:rsidP="00F7390A" w:rsidRDefault="00F7390A" w14:paraId="4248F0D8" w14:textId="30C33A18">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are published on an annual basis in December for flows in the previous year.</w:t>
      </w:r>
    </w:p>
    <w:p w:rsidRPr="00F7390A" w:rsidR="00576CFA" w:rsidP="00F7390A" w:rsidRDefault="00F7390A" w14:paraId="777F0337" w14:textId="6F85C3F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Detailed 2015 flows will be published in December 2016.</w:t>
      </w:r>
    </w:p>
    <w:p w:rsidRPr="00A96255" w:rsidR="00EC2915" w:rsidP="00576CFA" w:rsidRDefault="00EC2915" w14:paraId="01BA862E" w14:textId="77777777">
      <w:pPr>
        <w:pStyle w:val="MText"/>
      </w:pPr>
    </w:p>
    <w:p w:rsidRPr="00F719A8" w:rsidR="00E46D96" w:rsidP="00F719A8" w:rsidRDefault="00E46D96" w14:paraId="7D466604" w14:textId="674844F0">
      <w:pPr>
        <w:pStyle w:val="MHeader2"/>
      </w:pPr>
      <w:r w:rsidRPr="00A96255">
        <w:t>3.d. Data release calendar</w:t>
      </w:r>
    </w:p>
    <w:p w:rsidRPr="00F7390A" w:rsidR="00576CFA" w:rsidP="00F7390A" w:rsidRDefault="00F7390A" w14:paraId="5EAB53D5" w14:textId="17C7BE52">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December 2016. </w:t>
      </w:r>
    </w:p>
    <w:p w:rsidRPr="00A96255" w:rsidR="00EC2915" w:rsidP="00576CFA" w:rsidRDefault="00EC2915" w14:paraId="64C749BD" w14:textId="77777777">
      <w:pPr>
        <w:pStyle w:val="MText"/>
      </w:pPr>
    </w:p>
    <w:p w:rsidRPr="00A96255" w:rsidR="00E46D96" w:rsidP="00F719A8" w:rsidRDefault="00E46D96" w14:paraId="3A4F3065" w14:textId="3AD52F9D">
      <w:pPr>
        <w:pStyle w:val="MHeader2"/>
      </w:pPr>
      <w:r w:rsidRPr="00A96255">
        <w:lastRenderedPageBreak/>
        <w:t>3.e. Data providers</w:t>
      </w:r>
    </w:p>
    <w:p w:rsidRPr="00A96255" w:rsidR="00576CFA" w:rsidP="00576CFA" w:rsidRDefault="00F7390A" w14:paraId="6DBC0025" w14:textId="069BE8A7">
      <w:pPr>
        <w:pStyle w:val="MText"/>
      </w:pPr>
      <w:r>
        <w:t>Data are reported on an annual calendar year basis by statistical reporters in national administrations (aid agencies, Ministries of Foreign Affairs or Finance, etc.</w:t>
      </w:r>
    </w:p>
    <w:p w:rsidRPr="00A96255" w:rsidR="00EC2915" w:rsidP="00576CFA" w:rsidRDefault="00EC2915" w14:paraId="50A66E64" w14:textId="77777777">
      <w:pPr>
        <w:pStyle w:val="MText"/>
      </w:pPr>
    </w:p>
    <w:p w:rsidRPr="00A96255" w:rsidR="00E46D96" w:rsidP="00F719A8" w:rsidRDefault="00E46D96" w14:paraId="30DC8E05" w14:textId="484D6EC2">
      <w:pPr>
        <w:pStyle w:val="MHeader2"/>
      </w:pPr>
      <w:r w:rsidRPr="00A96255">
        <w:t>3.f. Data compilers</w:t>
      </w:r>
    </w:p>
    <w:p w:rsidR="00F7390A" w:rsidP="00F7390A" w:rsidRDefault="00F7390A" w14:paraId="111CAC5A"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OECD</w:t>
      </w:r>
    </w:p>
    <w:p w:rsidRPr="00A96255" w:rsidR="00EC2915" w:rsidP="00576CFA" w:rsidRDefault="00EC2915" w14:paraId="5C43435B" w14:textId="77777777">
      <w:pPr>
        <w:pStyle w:val="MText"/>
      </w:pPr>
    </w:p>
    <w:p w:rsidRPr="00A96255" w:rsidR="00E46D96" w:rsidP="00F719A8" w:rsidRDefault="00E46D96" w14:paraId="5655E768" w14:textId="5429F32E">
      <w:pPr>
        <w:pStyle w:val="MHeader2"/>
      </w:pPr>
      <w:r w:rsidRPr="00A96255">
        <w:t>3.g. Institutional mandate</w:t>
      </w:r>
    </w:p>
    <w:p w:rsidR="00EC2915" w:rsidP="00576CFA" w:rsidRDefault="00EC2915" w14:paraId="7D007C3C" w14:textId="68631AC1">
      <w:pPr>
        <w:pStyle w:val="MText"/>
      </w:pPr>
    </w:p>
    <w:p w:rsidRPr="00A96255" w:rsidR="00F719A8" w:rsidP="00576CFA" w:rsidRDefault="00F719A8" w14:paraId="3D063F4C" w14:textId="77777777">
      <w:pPr>
        <w:pStyle w:val="MText"/>
      </w:pPr>
    </w:p>
    <w:p w:rsidRPr="00A96255" w:rsidR="00B31E2C" w:rsidP="00AF5ED1" w:rsidRDefault="00B31E2C" w14:paraId="6149DC94" w14:textId="05781947">
      <w:pPr>
        <w:pStyle w:val="MHeader"/>
      </w:pPr>
      <w:r w:rsidRPr="00A96255">
        <w:t>4. Other methodological considerations</w:t>
      </w:r>
    </w:p>
    <w:p w:rsidRPr="00A96255" w:rsidR="00AF5ED1" w:rsidP="00F719A8" w:rsidRDefault="00576CFA" w14:paraId="1AFA5517" w14:textId="54FD9B10">
      <w:pPr>
        <w:pStyle w:val="MHeader2"/>
      </w:pPr>
      <w:r w:rsidRPr="00A96255">
        <w:t>4.a. Rationale</w:t>
      </w:r>
    </w:p>
    <w:p w:rsidRPr="00A96255" w:rsidR="00576CFA" w:rsidP="00576CFA" w:rsidRDefault="00F7390A" w14:paraId="0AD7EEA2" w14:textId="36C5DA8C">
      <w:pPr>
        <w:pStyle w:val="MText"/>
      </w:pPr>
      <w:r>
        <w:t>Total ODA and OOF flows to developing countries quantify the public effort (excluding export credits) that donors provide to developing countries for agriculture.</w:t>
      </w:r>
    </w:p>
    <w:p w:rsidRPr="00A96255" w:rsidR="00576CFA" w:rsidP="00576CFA" w:rsidRDefault="00576CFA" w14:paraId="18EA7892" w14:textId="77777777">
      <w:pPr>
        <w:pStyle w:val="MText"/>
      </w:pPr>
    </w:p>
    <w:p w:rsidRPr="00A96255" w:rsidR="00E1050F" w:rsidP="00F719A8" w:rsidRDefault="00E1050F" w14:paraId="2529B069" w14:textId="618DCD10">
      <w:pPr>
        <w:pStyle w:val="MHeader2"/>
      </w:pPr>
      <w:r w:rsidRPr="00A96255">
        <w:t>4.b. Comment and limitations</w:t>
      </w:r>
    </w:p>
    <w:p w:rsidRPr="00A96255" w:rsidR="00576CFA" w:rsidP="00576CFA" w:rsidRDefault="00F7390A" w14:paraId="762049F5" w14:textId="3A1D3728">
      <w:pPr>
        <w:pStyle w:val="MText"/>
      </w:pPr>
      <w:r>
        <w:t>Data in the Creditor Reporting System are available from 1973.  However, the data coverage is considered complete since 1995 for commitments at an activity level and 2002 for disbursements.</w:t>
      </w:r>
    </w:p>
    <w:p w:rsidRPr="00A96255" w:rsidR="00EC2915" w:rsidP="00576CFA" w:rsidRDefault="00EC2915" w14:paraId="398C00AE" w14:textId="77777777">
      <w:pPr>
        <w:pStyle w:val="MText"/>
      </w:pPr>
    </w:p>
    <w:p w:rsidRPr="00A96255" w:rsidR="00E1050F" w:rsidP="00F719A8" w:rsidRDefault="00E1050F" w14:paraId="79EEEE38" w14:textId="75AB172D">
      <w:pPr>
        <w:pStyle w:val="MHeader2"/>
      </w:pPr>
      <w:r w:rsidRPr="00A96255">
        <w:t>4.c. Method of computation</w:t>
      </w:r>
    </w:p>
    <w:p w:rsidRPr="00A96255" w:rsidR="00576CFA" w:rsidP="00576CFA" w:rsidRDefault="00F7390A" w14:paraId="4FC242CD" w14:textId="5B0F83F3">
      <w:pPr>
        <w:pStyle w:val="MText"/>
      </w:pPr>
      <w:r>
        <w:t>The sum of ODA and OOF flows from all donors to developing countries in the agriculture sector.</w:t>
      </w:r>
    </w:p>
    <w:p w:rsidRPr="00A96255" w:rsidR="00576CFA" w:rsidP="00576CFA" w:rsidRDefault="00576CFA" w14:paraId="6A89839E" w14:textId="77777777">
      <w:pPr>
        <w:pStyle w:val="MText"/>
      </w:pPr>
    </w:p>
    <w:p w:rsidRPr="00A96255" w:rsidR="00E1050F" w:rsidP="00F719A8" w:rsidRDefault="00576CFA" w14:paraId="514CE3C0" w14:textId="3F3F7A53">
      <w:pPr>
        <w:pStyle w:val="MHeader2"/>
      </w:pPr>
      <w:r w:rsidRPr="00A96255">
        <w:t>4.d. Validation</w:t>
      </w:r>
    </w:p>
    <w:p w:rsidR="00F719A8" w:rsidP="00576CFA" w:rsidRDefault="00F719A8" w14:paraId="746FA91F" w14:textId="7AB801B2">
      <w:pPr>
        <w:pStyle w:val="MText"/>
      </w:pPr>
    </w:p>
    <w:p w:rsidRPr="00A96255" w:rsidR="00F719A8" w:rsidP="00576CFA" w:rsidRDefault="00F719A8" w14:paraId="0025F830" w14:textId="77777777">
      <w:pPr>
        <w:pStyle w:val="MText"/>
      </w:pPr>
    </w:p>
    <w:p w:rsidRPr="00A96255" w:rsidR="00E1050F" w:rsidP="00F719A8" w:rsidRDefault="00E1050F" w14:paraId="2CF2A343" w14:textId="0A7F0CBE">
      <w:pPr>
        <w:pStyle w:val="MHeader2"/>
      </w:pPr>
      <w:r w:rsidRPr="00A96255">
        <w:t>4.e. Adjustments</w:t>
      </w:r>
    </w:p>
    <w:p w:rsidR="00EC2915" w:rsidP="00576CFA" w:rsidRDefault="00EC2915" w14:paraId="7FBAEBBA" w14:textId="747F95FC">
      <w:pPr>
        <w:pStyle w:val="MText"/>
      </w:pPr>
    </w:p>
    <w:p w:rsidRPr="00A96255" w:rsidR="001E55E0" w:rsidP="00576CFA" w:rsidRDefault="001E55E0" w14:paraId="5DA9E559" w14:textId="77777777">
      <w:pPr>
        <w:pStyle w:val="MText"/>
      </w:pPr>
    </w:p>
    <w:p w:rsidRPr="00A96255" w:rsidR="00E1050F" w:rsidP="00F719A8" w:rsidRDefault="00576CFA" w14:paraId="17735630" w14:textId="3387C27D">
      <w:pPr>
        <w:pStyle w:val="MHeader2"/>
      </w:pPr>
      <w:r w:rsidRPr="00A96255">
        <w:t>4.f. Treatment of missing values (</w:t>
      </w:r>
      <w:proofErr w:type="spellStart"/>
      <w:r w:rsidRPr="00A96255">
        <w:t>i</w:t>
      </w:r>
      <w:proofErr w:type="spellEnd"/>
      <w:r w:rsidRPr="00A96255">
        <w:t>) at country le</w:t>
      </w:r>
      <w:r w:rsidRPr="00A96255" w:rsidR="00E1050F">
        <w:t>vel and (ii) at regional level</w:t>
      </w:r>
    </w:p>
    <w:p w:rsidRPr="001E55E0" w:rsidR="00F7390A" w:rsidP="00F7390A" w:rsidRDefault="00F7390A" w14:paraId="269BEBE5" w14:textId="77777777">
      <w:pPr>
        <w:numPr>
          <w:ilvl w:val="0"/>
          <w:numId w:val="6"/>
        </w:numPr>
        <w:shd w:val="clear" w:color="auto" w:fill="FFFFFF"/>
        <w:spacing w:after="0" w:line="240" w:lineRule="auto"/>
        <w:ind w:left="495"/>
        <w:outlineLvl w:val="4"/>
        <w:rPr>
          <w:rFonts w:eastAsia="Times New Roman" w:cs="Times New Roman"/>
          <w:b/>
          <w:bCs/>
          <w:color w:val="1C75BC"/>
          <w:sz w:val="21"/>
          <w:szCs w:val="21"/>
          <w:lang w:eastAsia="en-GB"/>
        </w:rPr>
      </w:pPr>
      <w:r w:rsidRPr="001E55E0">
        <w:rPr>
          <w:rFonts w:eastAsia="Times New Roman" w:cs="Times New Roman"/>
          <w:b/>
          <w:bCs/>
          <w:color w:val="1C75BC"/>
          <w:sz w:val="21"/>
          <w:szCs w:val="21"/>
          <w:lang w:eastAsia="en-GB"/>
        </w:rPr>
        <w:t>At country level</w:t>
      </w:r>
    </w:p>
    <w:p w:rsidR="00F7390A" w:rsidP="00F7390A" w:rsidRDefault="00F7390A" w14:paraId="46B57DBE" w14:textId="77777777">
      <w:pPr>
        <w:shd w:val="clear" w:color="auto" w:fill="FFFFFF"/>
        <w:spacing w:after="0"/>
        <w:ind w:left="495"/>
        <w:rPr>
          <w:rFonts w:eastAsia="Times New Roman" w:cs="Times New Roman"/>
          <w:color w:val="4A4A4A"/>
          <w:sz w:val="21"/>
          <w:szCs w:val="21"/>
          <w:lang w:eastAsia="en-GB"/>
        </w:rPr>
      </w:pPr>
    </w:p>
    <w:p w:rsidR="00F7390A" w:rsidP="00F7390A" w:rsidRDefault="00F7390A" w14:paraId="3BA5BBCA" w14:textId="77777777">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Due to high quality of reporting, no estimates are produced for missing data.</w:t>
      </w:r>
    </w:p>
    <w:p w:rsidR="00F7390A" w:rsidP="00F7390A" w:rsidRDefault="00F7390A" w14:paraId="6021FF16" w14:textId="77777777">
      <w:pPr>
        <w:shd w:val="clear" w:color="auto" w:fill="FFFFFF"/>
        <w:spacing w:after="0"/>
        <w:ind w:left="495"/>
        <w:rPr>
          <w:rFonts w:eastAsia="Times New Roman" w:cs="Times New Roman"/>
          <w:color w:val="4A4A4A"/>
          <w:sz w:val="21"/>
          <w:szCs w:val="21"/>
          <w:lang w:eastAsia="en-GB"/>
        </w:rPr>
      </w:pPr>
    </w:p>
    <w:p w:rsidRPr="001E55E0" w:rsidR="00F7390A" w:rsidP="00F7390A" w:rsidRDefault="00F7390A" w14:paraId="1343CC81" w14:textId="77777777">
      <w:pPr>
        <w:numPr>
          <w:ilvl w:val="0"/>
          <w:numId w:val="6"/>
        </w:numPr>
        <w:shd w:val="clear" w:color="auto" w:fill="FFFFFF"/>
        <w:spacing w:after="0" w:line="240" w:lineRule="auto"/>
        <w:ind w:left="495"/>
        <w:outlineLvl w:val="4"/>
        <w:rPr>
          <w:rFonts w:eastAsia="Times New Roman" w:cs="Times New Roman"/>
          <w:b/>
          <w:bCs/>
          <w:color w:val="1C75BC"/>
          <w:sz w:val="21"/>
          <w:szCs w:val="21"/>
          <w:lang w:eastAsia="en-GB"/>
        </w:rPr>
      </w:pPr>
      <w:r w:rsidRPr="001E55E0">
        <w:rPr>
          <w:rFonts w:eastAsia="Times New Roman" w:cs="Times New Roman"/>
          <w:b/>
          <w:bCs/>
          <w:color w:val="1C75BC"/>
          <w:sz w:val="21"/>
          <w:szCs w:val="21"/>
          <w:lang w:eastAsia="en-GB"/>
        </w:rPr>
        <w:t>At regional and global levels</w:t>
      </w:r>
    </w:p>
    <w:p w:rsidR="00F7390A" w:rsidP="00F7390A" w:rsidRDefault="00F7390A" w14:paraId="2B093EB7" w14:textId="77777777">
      <w:pPr>
        <w:shd w:val="clear" w:color="auto" w:fill="FFFFFF"/>
        <w:spacing w:after="0"/>
        <w:ind w:left="495"/>
        <w:rPr>
          <w:rFonts w:eastAsia="Times New Roman" w:cs="Times New Roman"/>
          <w:color w:val="4A4A4A"/>
          <w:sz w:val="21"/>
          <w:szCs w:val="21"/>
          <w:lang w:eastAsia="en-GB"/>
        </w:rPr>
      </w:pPr>
    </w:p>
    <w:p w:rsidR="00F7390A" w:rsidP="00F7390A" w:rsidRDefault="00F7390A" w14:paraId="1CB7C1C2" w14:textId="77777777">
      <w:pPr>
        <w:shd w:val="clear" w:color="auto" w:fill="FFFFFF"/>
        <w:spacing w:after="0"/>
        <w:ind w:left="495"/>
        <w:rPr>
          <w:rFonts w:eastAsia="Times New Roman" w:cs="Times New Roman"/>
          <w:color w:val="4A4A4A"/>
          <w:sz w:val="21"/>
          <w:szCs w:val="21"/>
          <w:lang w:eastAsia="en-GB"/>
        </w:rPr>
      </w:pPr>
      <w:r>
        <w:rPr>
          <w:rFonts w:eastAsia="Times New Roman" w:cs="Times New Roman"/>
          <w:color w:val="4A4A4A"/>
          <w:sz w:val="21"/>
          <w:szCs w:val="21"/>
          <w:lang w:eastAsia="en-GB"/>
        </w:rPr>
        <w:t>Not applicable</w:t>
      </w:r>
    </w:p>
    <w:p w:rsidRPr="00A96255" w:rsidR="00EC2915" w:rsidP="00576CFA" w:rsidRDefault="00EC2915" w14:paraId="27033367" w14:textId="6BF21C9C">
      <w:pPr>
        <w:pStyle w:val="MText"/>
      </w:pPr>
    </w:p>
    <w:p w:rsidRPr="00A96255" w:rsidR="00E1050F" w:rsidP="00F719A8" w:rsidRDefault="00E1050F" w14:paraId="51FCD280" w14:textId="0DAB30E3">
      <w:pPr>
        <w:pStyle w:val="MHeader2"/>
      </w:pPr>
      <w:r w:rsidRPr="00A96255">
        <w:t>4.g. Regional aggregations</w:t>
      </w:r>
    </w:p>
    <w:p w:rsidRPr="00A96255" w:rsidR="00576CFA" w:rsidP="00E1050F" w:rsidRDefault="00F7390A" w14:paraId="23327535" w14:textId="032C6E6C">
      <w:pPr>
        <w:pStyle w:val="MText"/>
      </w:pPr>
      <w:r>
        <w:t>Global and regional figures are based on the sum of ODA and OOF flows to the agriculture sector.</w:t>
      </w:r>
    </w:p>
    <w:p w:rsidRPr="00A96255" w:rsidR="00EC2915" w:rsidP="00576CFA" w:rsidRDefault="00EC2915" w14:paraId="2EA010B7" w14:textId="77777777">
      <w:pPr>
        <w:pStyle w:val="MText"/>
      </w:pPr>
    </w:p>
    <w:p w:rsidRPr="00A96255" w:rsidR="00E1050F" w:rsidP="00F719A8" w:rsidRDefault="00576CFA" w14:paraId="71213FF2" w14:textId="52980C15">
      <w:pPr>
        <w:pStyle w:val="MHeader2"/>
      </w:pPr>
      <w:r w:rsidRPr="00A96255">
        <w:t xml:space="preserve">4.h. Methods and guidance available to countries for the compilation of </w:t>
      </w:r>
      <w:r w:rsidRPr="00A96255" w:rsidR="00E1050F">
        <w:t>the data at the national level</w:t>
      </w:r>
    </w:p>
    <w:p w:rsidR="00EC2915" w:rsidP="00576CFA" w:rsidRDefault="00EC2915" w14:paraId="2939895F" w14:textId="662763CF">
      <w:pPr>
        <w:pStyle w:val="MText"/>
      </w:pPr>
    </w:p>
    <w:p w:rsidRPr="00A96255" w:rsidR="001E55E0" w:rsidP="00576CFA" w:rsidRDefault="001E55E0" w14:paraId="102CDD9C" w14:textId="77777777">
      <w:pPr>
        <w:pStyle w:val="MText"/>
      </w:pPr>
    </w:p>
    <w:p w:rsidRPr="00A96255" w:rsidR="00E1050F" w:rsidP="00F719A8" w:rsidRDefault="00576CFA" w14:paraId="494C36E8" w14:textId="22C3CD05">
      <w:pPr>
        <w:pStyle w:val="MHeader2"/>
      </w:pPr>
      <w:r w:rsidRPr="00A96255">
        <w:t xml:space="preserve">4.i. </w:t>
      </w:r>
      <w:r w:rsidRPr="00A96255" w:rsidR="00E1050F">
        <w:t>Quality management</w:t>
      </w:r>
    </w:p>
    <w:p w:rsidR="00EC2915" w:rsidP="00576CFA" w:rsidRDefault="00EC2915" w14:paraId="5484B16D" w14:textId="243E623F">
      <w:pPr>
        <w:pStyle w:val="MText"/>
      </w:pPr>
    </w:p>
    <w:p w:rsidRPr="00A96255" w:rsidR="001E55E0" w:rsidP="00576CFA" w:rsidRDefault="001E55E0" w14:paraId="084BC3B0" w14:textId="77777777">
      <w:pPr>
        <w:pStyle w:val="MText"/>
      </w:pPr>
    </w:p>
    <w:p w:rsidRPr="00A96255" w:rsidR="00E1050F" w:rsidP="00F719A8" w:rsidRDefault="00E1050F" w14:paraId="17B979CA" w14:textId="449C0153">
      <w:pPr>
        <w:pStyle w:val="MHeader2"/>
      </w:pPr>
      <w:r w:rsidRPr="00A96255">
        <w:t>4.j Quality assurance</w:t>
      </w:r>
    </w:p>
    <w:p w:rsidR="00EC2915" w:rsidP="00576CFA" w:rsidRDefault="00EC2915" w14:paraId="03EF3244" w14:textId="5D9EDE46">
      <w:pPr>
        <w:pStyle w:val="MText"/>
      </w:pPr>
    </w:p>
    <w:p w:rsidRPr="00A96255" w:rsidR="001E55E0" w:rsidP="00576CFA" w:rsidRDefault="001E55E0" w14:paraId="32C20B22" w14:textId="77777777">
      <w:pPr>
        <w:pStyle w:val="MText"/>
      </w:pPr>
    </w:p>
    <w:p w:rsidRPr="00A96255" w:rsidR="00E1050F" w:rsidP="00F719A8" w:rsidRDefault="00576CFA" w14:paraId="34ADD322" w14:textId="1A21C057">
      <w:pPr>
        <w:pStyle w:val="MHeader2"/>
      </w:pPr>
      <w:r w:rsidRPr="00A96255">
        <w:t>4.k Qua</w:t>
      </w:r>
      <w:r w:rsidRPr="00A96255" w:rsidR="00E1050F">
        <w:t>lity assessment</w:t>
      </w:r>
    </w:p>
    <w:p w:rsidRPr="00A96255" w:rsidR="00576CFA" w:rsidP="00576CFA" w:rsidRDefault="00576CFA" w14:paraId="326EB0AB" w14:textId="77777777">
      <w:pPr>
        <w:pStyle w:val="MText"/>
      </w:pPr>
    </w:p>
    <w:p w:rsidRPr="00A96255" w:rsidR="00576CFA" w:rsidP="00576CFA" w:rsidRDefault="00576CFA" w14:paraId="5B7C52CE" w14:textId="77777777">
      <w:pPr>
        <w:pStyle w:val="MText"/>
      </w:pPr>
    </w:p>
    <w:p w:rsidRPr="00A96255" w:rsidR="00E1050F" w:rsidP="000412A0" w:rsidRDefault="00576CFA" w14:paraId="17787B3C" w14:textId="03FE81A9">
      <w:pPr>
        <w:pStyle w:val="MHeader"/>
        <w:spacing w:after="100"/>
      </w:pPr>
      <w:r w:rsidRPr="00A96255">
        <w:t>5. Data availability and disaggregation</w:t>
      </w:r>
    </w:p>
    <w:p w:rsidRPr="00F7390A" w:rsidR="00F7390A" w:rsidP="00F7390A" w:rsidRDefault="00D51E7C" w14:paraId="3620A7D7" w14:textId="4C040BD7">
      <w:pPr>
        <w:pStyle w:val="MText"/>
        <w:rPr>
          <w:b/>
          <w:bCs/>
        </w:rPr>
      </w:pPr>
      <w:r w:rsidRPr="00F7390A">
        <w:rPr>
          <w:b/>
          <w:bCs/>
        </w:rPr>
        <w:t>Data availability:</w:t>
      </w:r>
    </w:p>
    <w:p w:rsidR="00F7390A" w:rsidP="00F7390A" w:rsidRDefault="00F7390A" w14:paraId="1DD3BCB9"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On a recipient basis for all developing countries eligible for ODA.</w:t>
      </w:r>
    </w:p>
    <w:p w:rsidR="00F7390A" w:rsidP="00F7390A" w:rsidRDefault="00F7390A" w14:paraId="5EFBC1F9" w14:textId="77777777">
      <w:pPr>
        <w:shd w:val="clear" w:color="auto" w:fill="FFFFFF"/>
        <w:spacing w:after="0"/>
        <w:rPr>
          <w:rFonts w:eastAsia="Times New Roman" w:cs="Times New Roman"/>
          <w:color w:val="4A4A4A"/>
          <w:sz w:val="21"/>
          <w:szCs w:val="21"/>
          <w:lang w:eastAsia="en-GB"/>
        </w:rPr>
      </w:pPr>
    </w:p>
    <w:p w:rsidR="00F7390A" w:rsidP="00F7390A" w:rsidRDefault="00F7390A" w14:paraId="607E0BB7" w14:textId="00BAA4C5">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Time series:</w:t>
      </w:r>
    </w:p>
    <w:p w:rsidR="00F7390A" w:rsidP="00F7390A" w:rsidRDefault="00F7390A" w14:paraId="5E94683C"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Data available since 1973 on an annual (calendar) basis</w:t>
      </w:r>
    </w:p>
    <w:p w:rsidRPr="00C019E5" w:rsidR="00D51E7C" w:rsidP="00576CFA" w:rsidRDefault="00D51E7C" w14:paraId="760C013A" w14:textId="134FCE78">
      <w:pPr>
        <w:pStyle w:val="MText"/>
        <w:rPr>
          <w:highlight w:val="cyan"/>
        </w:rPr>
      </w:pPr>
    </w:p>
    <w:p w:rsidR="00F7390A" w:rsidP="00F7390A" w:rsidRDefault="00F7390A" w14:paraId="3E7A0E97" w14:textId="576A66B6">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Disaggregation:</w:t>
      </w:r>
    </w:p>
    <w:p w:rsidRPr="00F7390A" w:rsidR="00D51E7C" w:rsidP="00F7390A" w:rsidRDefault="00F7390A" w14:paraId="72C7C370" w14:textId="4EB59890">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This indicator can be disaggregated by type of flow (ODA or OOF), by donor, recipient country, type of finance, type of aid (project agriculture sub-sector) etc.</w:t>
      </w:r>
    </w:p>
    <w:p w:rsidR="00D51E7C" w:rsidP="00576CFA" w:rsidRDefault="00D51E7C" w14:paraId="42E8CA56" w14:textId="3FDA0B76">
      <w:pPr>
        <w:pStyle w:val="MText"/>
      </w:pPr>
    </w:p>
    <w:p w:rsidRPr="00A96255" w:rsidR="001E55E0" w:rsidP="00576CFA" w:rsidRDefault="001E55E0" w14:paraId="2AF67A4C" w14:textId="77777777">
      <w:pPr>
        <w:pStyle w:val="MText"/>
      </w:pPr>
    </w:p>
    <w:p w:rsidRPr="00A96255" w:rsidR="00382CF3" w:rsidP="000412A0" w:rsidRDefault="00B31E2C" w14:paraId="4D0520F7" w14:textId="11F0E737">
      <w:pPr>
        <w:pStyle w:val="MHeader"/>
        <w:spacing w:after="100"/>
      </w:pPr>
      <w:r w:rsidRPr="00A96255">
        <w:t>6. Comparability / d</w:t>
      </w:r>
      <w:r w:rsidRPr="00A96255" w:rsidR="00576CFA">
        <w:t>eviatio</w:t>
      </w:r>
      <w:r w:rsidRPr="00A96255" w:rsidR="00382CF3">
        <w:t>n from international standards</w:t>
      </w:r>
    </w:p>
    <w:p w:rsidR="00F7390A" w:rsidP="00F7390A" w:rsidRDefault="00F7390A" w14:paraId="2F87F01B" w14:textId="4DD482C6">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Sources of discrepancies:</w:t>
      </w:r>
    </w:p>
    <w:p w:rsidR="00F7390A" w:rsidP="00F7390A" w:rsidRDefault="00F7390A" w14:paraId="2FEA7636" w14:textId="46C45F06">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DAC statistics are standardized on a calendar year basis for all donors and may differ from fiscal year data available in budget documents for some countries.</w:t>
      </w:r>
    </w:p>
    <w:p w:rsidR="00F719A8" w:rsidP="00576CFA" w:rsidRDefault="00F719A8" w14:paraId="5AB6DD91" w14:textId="5931D9D0">
      <w:pPr>
        <w:pStyle w:val="MText"/>
      </w:pPr>
    </w:p>
    <w:p w:rsidRPr="00A96255" w:rsidR="001E55E0" w:rsidP="00576CFA" w:rsidRDefault="001E55E0" w14:paraId="687DDED2" w14:textId="77777777">
      <w:pPr>
        <w:pStyle w:val="MText"/>
      </w:pPr>
    </w:p>
    <w:p w:rsidRPr="00A96255" w:rsidR="00382CF3" w:rsidP="000412A0" w:rsidRDefault="00576CFA" w14:paraId="76DF099C" w14:textId="703C09F1">
      <w:pPr>
        <w:pStyle w:val="MHeader"/>
        <w:spacing w:after="100"/>
      </w:pPr>
      <w:r w:rsidRPr="00A96255">
        <w:t>7</w:t>
      </w:r>
      <w:r w:rsidRPr="00A96255" w:rsidR="00382CF3">
        <w:t>. References and Documentation</w:t>
      </w:r>
    </w:p>
    <w:p w:rsidR="00F7390A" w:rsidP="00F7390A" w:rsidRDefault="00F7390A" w14:paraId="70F7E14F" w14:textId="2F5CA8F2">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URL:</w:t>
      </w:r>
    </w:p>
    <w:p w:rsidR="00F7390A" w:rsidP="00F7390A" w:rsidRDefault="00F7390A" w14:paraId="708B7A0D"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www.oecd.org/dac/stats</w:t>
      </w:r>
    </w:p>
    <w:p w:rsidR="00F7390A" w:rsidP="00F7390A" w:rsidRDefault="00F7390A" w14:paraId="31D62EBF" w14:textId="77777777">
      <w:pPr>
        <w:shd w:val="clear" w:color="auto" w:fill="FFFFFF"/>
        <w:spacing w:after="0"/>
        <w:rPr>
          <w:rFonts w:eastAsia="Times New Roman" w:cs="Times New Roman"/>
          <w:color w:val="4A4A4A"/>
          <w:sz w:val="21"/>
          <w:szCs w:val="21"/>
          <w:lang w:eastAsia="en-GB"/>
        </w:rPr>
      </w:pPr>
    </w:p>
    <w:p w:rsidR="00F7390A" w:rsidP="00F7390A" w:rsidRDefault="00F7390A" w14:paraId="345F1431" w14:textId="31D2DFEE">
      <w:pPr>
        <w:shd w:val="clear" w:color="auto" w:fill="FFFFFF"/>
        <w:spacing w:after="0"/>
        <w:rPr>
          <w:rFonts w:eastAsia="Times New Roman" w:cs="Times New Roman"/>
          <w:color w:val="4A4A4A"/>
          <w:sz w:val="21"/>
          <w:szCs w:val="21"/>
          <w:lang w:eastAsia="en-GB"/>
        </w:rPr>
      </w:pPr>
      <w:r>
        <w:rPr>
          <w:rFonts w:eastAsia="Times New Roman" w:cs="Times New Roman"/>
          <w:b/>
          <w:bCs/>
          <w:color w:val="4A4A4A"/>
          <w:sz w:val="21"/>
          <w:szCs w:val="21"/>
          <w:lang w:eastAsia="en-GB"/>
        </w:rPr>
        <w:t>References:</w:t>
      </w:r>
    </w:p>
    <w:p w:rsidR="00F7390A" w:rsidP="00F7390A" w:rsidRDefault="00F7390A" w14:paraId="3E966A1A" w14:textId="77777777">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See all links here: </w:t>
      </w:r>
      <w:hyperlink w:history="1" r:id="rId13">
        <w:r>
          <w:rPr>
            <w:rStyle w:val="Hyperlink"/>
            <w:rFonts w:eastAsia="Times New Roman" w:cs="Times New Roman"/>
            <w:sz w:val="21"/>
            <w:szCs w:val="21"/>
            <w:lang w:eastAsia="en-GB"/>
          </w:rPr>
          <w:t>http://www.oecd.org/dac/stats/methodology.htm</w:t>
        </w:r>
      </w:hyperlink>
    </w:p>
    <w:p w:rsidR="00186795" w:rsidP="00F7390A" w:rsidRDefault="00186795" w14:paraId="384B0992" w14:textId="338A8797">
      <w:pPr>
        <w:pStyle w:val="MText"/>
      </w:pPr>
    </w:p>
    <w:sectPr w:rsidR="00186795">
      <w:headerReference w:type="default" r:id="rId14"/>
      <w:pgSz w:w="11906" w:h="16838" w:orient="portrait"/>
      <w:pgMar w:top="1440" w:right="1440" w:bottom="1440" w:left="1440" w:header="720" w:footer="720" w:gutter="0"/>
      <w:cols w:space="720"/>
      <w:docGrid w:linePitch="360"/>
      <w:footerReference w:type="default" r:id="R0c2010cd1da14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559AF" w:rsidP="00573C0B" w:rsidRDefault="00C559AF" w14:paraId="142DE088" w14:textId="77777777">
      <w:pPr>
        <w:spacing w:after="0" w:line="240" w:lineRule="auto"/>
      </w:pPr>
      <w:r>
        <w:separator/>
      </w:r>
    </w:p>
  </w:endnote>
  <w:endnote w:type="continuationSeparator" w:id="0">
    <w:p w:rsidR="00C559AF" w:rsidP="00573C0B" w:rsidRDefault="00C559AF" w14:paraId="372241AB" w14:textId="77777777">
      <w:pPr>
        <w:spacing w:after="0" w:line="240" w:lineRule="auto"/>
      </w:pPr>
      <w:r>
        <w:continuationSeparator/>
      </w:r>
    </w:p>
  </w:endnote>
  <w:endnote w:type="continuationNotice" w:id="1">
    <w:p w:rsidR="00C559AF" w:rsidRDefault="00C559AF" w14:paraId="40B8F06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6917237" w:rsidTr="66917237" w14:paraId="6773A96D">
      <w:tc>
        <w:tcPr>
          <w:tcW w:w="3005" w:type="dxa"/>
          <w:tcMar/>
        </w:tcPr>
        <w:p w:rsidR="66917237" w:rsidP="66917237" w:rsidRDefault="66917237" w14:paraId="3E017629" w14:textId="3ECAC9CF">
          <w:pPr>
            <w:pStyle w:val="Header"/>
            <w:bidi w:val="0"/>
            <w:ind w:left="-115"/>
            <w:jc w:val="left"/>
          </w:pPr>
        </w:p>
      </w:tc>
      <w:tc>
        <w:tcPr>
          <w:tcW w:w="3005" w:type="dxa"/>
          <w:tcMar/>
        </w:tcPr>
        <w:p w:rsidR="66917237" w:rsidP="66917237" w:rsidRDefault="66917237" w14:paraId="3132A4BA" w14:textId="3DC94BBF">
          <w:pPr>
            <w:pStyle w:val="Header"/>
            <w:bidi w:val="0"/>
            <w:jc w:val="center"/>
          </w:pPr>
        </w:p>
      </w:tc>
      <w:tc>
        <w:tcPr>
          <w:tcW w:w="3005" w:type="dxa"/>
          <w:tcMar/>
        </w:tcPr>
        <w:p w:rsidR="66917237" w:rsidP="66917237" w:rsidRDefault="66917237" w14:paraId="41B68457" w14:textId="3D3FFA57">
          <w:pPr>
            <w:pStyle w:val="Header"/>
            <w:bidi w:val="0"/>
            <w:ind w:right="-115"/>
            <w:jc w:val="right"/>
          </w:pPr>
        </w:p>
      </w:tc>
    </w:tr>
  </w:tbl>
  <w:p w:rsidR="66917237" w:rsidP="66917237" w:rsidRDefault="66917237" w14:paraId="00EEC3D1" w14:textId="66F7D06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559AF" w:rsidP="00573C0B" w:rsidRDefault="00C559AF" w14:paraId="4F944104" w14:textId="77777777">
      <w:pPr>
        <w:spacing w:after="0" w:line="240" w:lineRule="auto"/>
      </w:pPr>
      <w:r>
        <w:separator/>
      </w:r>
    </w:p>
  </w:footnote>
  <w:footnote w:type="continuationSeparator" w:id="0">
    <w:p w:rsidR="00C559AF" w:rsidP="00573C0B" w:rsidRDefault="00C559AF" w14:paraId="5FE916F4" w14:textId="77777777">
      <w:pPr>
        <w:spacing w:after="0" w:line="240" w:lineRule="auto"/>
      </w:pPr>
      <w:r>
        <w:continuationSeparator/>
      </w:r>
    </w:p>
  </w:footnote>
  <w:footnote w:type="continuationNotice" w:id="1">
    <w:p w:rsidR="00C559AF" w:rsidRDefault="00C559AF" w14:paraId="23A0F3B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57E8A" w:rsidR="00077F46" w:rsidP="00077F46" w:rsidRDefault="00077F46" w14:paraId="3FDD5D76" w14:textId="43D3113D">
    <w:pPr>
      <w:pStyle w:val="Header"/>
      <w:jc w:val="right"/>
      <w:rPr>
        <w:color w:val="404040" w:themeColor="text1" w:themeTint="BF"/>
        <w:sz w:val="18"/>
        <w:szCs w:val="18"/>
      </w:rPr>
    </w:pPr>
    <w:bookmarkStart w:name="_Hlk506197003" w:id="5"/>
    <w:bookmarkStart w:name="_Hlk506197004" w:id="6"/>
    <w:bookmarkStart w:name="_Hlk506197005" w:id="7"/>
    <w:bookmarkStart w:name="_Hlk516233502" w:id="8"/>
    <w:bookmarkStart w:name="_Hlk516233503" w:id="9"/>
    <w:bookmarkStart w:name="_Hlk516233504" w:id="10"/>
    <w:r w:rsidRPr="66917237" w:rsidR="66917237">
      <w:rPr>
        <w:color w:val="404040" w:themeColor="text1" w:themeTint="BF" w:themeShade="FF"/>
        <w:sz w:val="18"/>
        <w:szCs w:val="18"/>
      </w:rPr>
      <w:t>Last updated:</w:t>
    </w:r>
    <w:bookmarkEnd w:id="5"/>
    <w:bookmarkEnd w:id="6"/>
    <w:bookmarkEnd w:id="7"/>
    <w:bookmarkEnd w:id="8"/>
    <w:bookmarkEnd w:id="9"/>
    <w:bookmarkEnd w:id="10"/>
    <w:r w:rsidRPr="66917237" w:rsidR="66917237">
      <w:rPr>
        <w:color w:val="404040" w:themeColor="text1" w:themeTint="BF" w:themeShade="FF"/>
        <w:sz w:val="18"/>
        <w:szCs w:val="18"/>
      </w:rPr>
      <w:t xml:space="preserve"> </w:t>
    </w:r>
    <w:r w:rsidRPr="66917237" w:rsidR="66917237">
      <w:rPr>
        <w:color w:val="404040" w:themeColor="text1" w:themeTint="BF" w:themeShade="FF"/>
        <w:sz w:val="18"/>
        <w:szCs w:val="18"/>
      </w:rPr>
      <w:t>2017</w:t>
    </w:r>
    <w:r w:rsidRPr="66917237" w:rsidR="66917237">
      <w:rPr>
        <w:color w:val="404040" w:themeColor="text1" w:themeTint="BF" w:themeShade="FF"/>
        <w:sz w:val="18"/>
        <w:szCs w:val="18"/>
      </w:rPr>
      <w:t>-07-09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5904"/>
    <w:multiLevelType w:val="hybridMultilevel"/>
    <w:tmpl w:val="910262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DC06C9"/>
    <w:multiLevelType w:val="multilevel"/>
    <w:tmpl w:val="F928338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C425EBA"/>
    <w:multiLevelType w:val="hybridMultilevel"/>
    <w:tmpl w:val="F7A89FA6"/>
    <w:lvl w:ilvl="0" w:tplc="CB8087B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45344F4"/>
    <w:multiLevelType w:val="multilevel"/>
    <w:tmpl w:val="2AF8BE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79532FB5"/>
    <w:multiLevelType w:val="hybridMultilevel"/>
    <w:tmpl w:val="F014CF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412A0"/>
    <w:rsid w:val="00047DDA"/>
    <w:rsid w:val="0005455A"/>
    <w:rsid w:val="00071F07"/>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85354"/>
    <w:rsid w:val="001854DC"/>
    <w:rsid w:val="00186795"/>
    <w:rsid w:val="00194D09"/>
    <w:rsid w:val="001A7D5C"/>
    <w:rsid w:val="001B60AA"/>
    <w:rsid w:val="001B63C8"/>
    <w:rsid w:val="001C1972"/>
    <w:rsid w:val="001C421F"/>
    <w:rsid w:val="001D360D"/>
    <w:rsid w:val="001E55E0"/>
    <w:rsid w:val="00261A8D"/>
    <w:rsid w:val="002738D7"/>
    <w:rsid w:val="00283C1C"/>
    <w:rsid w:val="00291A00"/>
    <w:rsid w:val="00291A11"/>
    <w:rsid w:val="002A315C"/>
    <w:rsid w:val="002A3342"/>
    <w:rsid w:val="002A64BA"/>
    <w:rsid w:val="002B4989"/>
    <w:rsid w:val="002C2510"/>
    <w:rsid w:val="002D714E"/>
    <w:rsid w:val="002E53C3"/>
    <w:rsid w:val="002F1468"/>
    <w:rsid w:val="002F5F0C"/>
    <w:rsid w:val="003265EB"/>
    <w:rsid w:val="0034329E"/>
    <w:rsid w:val="00343FAA"/>
    <w:rsid w:val="00347F5E"/>
    <w:rsid w:val="00353C98"/>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6CCA"/>
    <w:rsid w:val="006104AF"/>
    <w:rsid w:val="00621893"/>
    <w:rsid w:val="006351E1"/>
    <w:rsid w:val="006447B1"/>
    <w:rsid w:val="00662775"/>
    <w:rsid w:val="006852FC"/>
    <w:rsid w:val="006B40AB"/>
    <w:rsid w:val="006B5DC5"/>
    <w:rsid w:val="006C4BFD"/>
    <w:rsid w:val="006C7D30"/>
    <w:rsid w:val="006E3C08"/>
    <w:rsid w:val="00700ACF"/>
    <w:rsid w:val="00712487"/>
    <w:rsid w:val="007530CA"/>
    <w:rsid w:val="00756D68"/>
    <w:rsid w:val="007578D9"/>
    <w:rsid w:val="00757E8A"/>
    <w:rsid w:val="00763E43"/>
    <w:rsid w:val="00764EB5"/>
    <w:rsid w:val="00777A95"/>
    <w:rsid w:val="00782416"/>
    <w:rsid w:val="007B0364"/>
    <w:rsid w:val="007D0981"/>
    <w:rsid w:val="007D1929"/>
    <w:rsid w:val="00803CF1"/>
    <w:rsid w:val="008104BB"/>
    <w:rsid w:val="008249C5"/>
    <w:rsid w:val="008526F9"/>
    <w:rsid w:val="0085285E"/>
    <w:rsid w:val="00853023"/>
    <w:rsid w:val="008534D4"/>
    <w:rsid w:val="00881E28"/>
    <w:rsid w:val="00894C4B"/>
    <w:rsid w:val="008A12E3"/>
    <w:rsid w:val="008A42FA"/>
    <w:rsid w:val="008B0AC7"/>
    <w:rsid w:val="008C2335"/>
    <w:rsid w:val="008C67C1"/>
    <w:rsid w:val="008D1D39"/>
    <w:rsid w:val="008F07D2"/>
    <w:rsid w:val="00917851"/>
    <w:rsid w:val="00917F65"/>
    <w:rsid w:val="009311E7"/>
    <w:rsid w:val="00942694"/>
    <w:rsid w:val="009A7E3A"/>
    <w:rsid w:val="009B1265"/>
    <w:rsid w:val="009B4A15"/>
    <w:rsid w:val="009B5693"/>
    <w:rsid w:val="009C61A2"/>
    <w:rsid w:val="009C78E4"/>
    <w:rsid w:val="009D687E"/>
    <w:rsid w:val="009F6DE7"/>
    <w:rsid w:val="00A10583"/>
    <w:rsid w:val="00A37FCB"/>
    <w:rsid w:val="00A54863"/>
    <w:rsid w:val="00A61D74"/>
    <w:rsid w:val="00A8688B"/>
    <w:rsid w:val="00A91163"/>
    <w:rsid w:val="00A9286F"/>
    <w:rsid w:val="00A96255"/>
    <w:rsid w:val="00AB285B"/>
    <w:rsid w:val="00AF5552"/>
    <w:rsid w:val="00AF5CB4"/>
    <w:rsid w:val="00AF5ED1"/>
    <w:rsid w:val="00AF71D6"/>
    <w:rsid w:val="00B216EE"/>
    <w:rsid w:val="00B3175F"/>
    <w:rsid w:val="00B31E2C"/>
    <w:rsid w:val="00B329B0"/>
    <w:rsid w:val="00B402D8"/>
    <w:rsid w:val="00B4237C"/>
    <w:rsid w:val="00B42FE8"/>
    <w:rsid w:val="00B52AFD"/>
    <w:rsid w:val="00B54077"/>
    <w:rsid w:val="00B8087E"/>
    <w:rsid w:val="00BB646E"/>
    <w:rsid w:val="00BD1BA1"/>
    <w:rsid w:val="00C019E5"/>
    <w:rsid w:val="00C35BC4"/>
    <w:rsid w:val="00C43F5B"/>
    <w:rsid w:val="00C559AF"/>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210C4"/>
    <w:rsid w:val="00E23DB7"/>
    <w:rsid w:val="00E46D96"/>
    <w:rsid w:val="00E52CCA"/>
    <w:rsid w:val="00E66409"/>
    <w:rsid w:val="00E81D5B"/>
    <w:rsid w:val="00E976B9"/>
    <w:rsid w:val="00EA05D3"/>
    <w:rsid w:val="00EB19AD"/>
    <w:rsid w:val="00EB2F31"/>
    <w:rsid w:val="00EB6493"/>
    <w:rsid w:val="00EC2915"/>
    <w:rsid w:val="00ED05A9"/>
    <w:rsid w:val="00ED1BA0"/>
    <w:rsid w:val="00F17257"/>
    <w:rsid w:val="00F34D24"/>
    <w:rsid w:val="00F4130B"/>
    <w:rsid w:val="00F556A2"/>
    <w:rsid w:val="00F719A8"/>
    <w:rsid w:val="00F7390A"/>
    <w:rsid w:val="00F878B9"/>
    <w:rsid w:val="00FB24E8"/>
    <w:rsid w:val="00FB3B2B"/>
    <w:rsid w:val="00FC18DA"/>
    <w:rsid w:val="00FC3917"/>
    <w:rsid w:val="00FD60DA"/>
    <w:rsid w:val="00FF07B4"/>
    <w:rsid w:val="058AA82C"/>
    <w:rsid w:val="6691723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hAnsiTheme="majorHAnsi" w:eastAsiaTheme="majorEastAsia" w:cstheme="majorBidi"/>
      <w:b/>
      <w:bCs/>
      <w:color w:val="365F91" w:themeColor="accent1" w:themeShade="BF"/>
      <w:sz w:val="28"/>
      <w:szCs w:val="28"/>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8556D"/>
    <w:rPr>
      <w:rFonts w:asciiTheme="majorHAnsi" w:hAnsiTheme="majorHAnsi" w:eastAsiaTheme="majorEastAsia"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styleId="CommentTextChar" w:customStyle="1">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styleId="CommentSubjectChar" w:customStyle="1">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573C0B"/>
  </w:style>
  <w:style w:type="paragraph" w:styleId="MHeader" w:customStyle="1">
    <w:name w:val="M.Header"/>
    <w:basedOn w:val="Normal"/>
    <w:link w:val="MHeaderChar"/>
    <w:qFormat/>
    <w:rsid w:val="00EA05D3"/>
    <w:pPr>
      <w:pBdr>
        <w:bottom w:val="single" w:color="DDDDDD" w:sz="12" w:space="4"/>
      </w:pBdr>
      <w:shd w:val="clear" w:color="auto" w:fill="FFFFFF"/>
      <w:spacing w:after="0"/>
      <w:outlineLvl w:val="2"/>
    </w:pPr>
    <w:rPr>
      <w:rFonts w:eastAsia="Times New Roman" w:cs="Times New Roman"/>
      <w:color w:val="1C75BC"/>
      <w:sz w:val="32"/>
      <w:szCs w:val="36"/>
      <w:lang w:eastAsia="en-GB"/>
    </w:rPr>
  </w:style>
  <w:style w:type="paragraph" w:styleId="MText" w:customStyle="1">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styleId="MHeaderChar" w:customStyle="1">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styleId="MSubHeader" w:customStyle="1">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styleId="MTextChar" w:customStyle="1">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styleId="MGTHeader" w:customStyle="1">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styleId="MSubHeaderChar" w:customStyle="1">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styleId="MIndHeader" w:customStyle="1">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styleId="MGTHeaderChar" w:customStyle="1">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styleId="MIndHeaderChar" w:customStyle="1">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styleId="EndnoteTextChar" w:customStyle="1">
    <w:name w:val="Endnote Text Char"/>
    <w:basedOn w:val="DefaultParagraphFont"/>
    <w:link w:val="EndnoteText"/>
    <w:uiPriority w:val="99"/>
    <w:semiHidden/>
    <w:rsid w:val="00A96255"/>
    <w:rPr>
      <w:rFonts w:eastAsiaTheme="minorHAnsi"/>
      <w:sz w:val="20"/>
      <w:szCs w:val="20"/>
      <w:lang w:val="en-US" w:eastAsia="en-US"/>
    </w:rPr>
  </w:style>
  <w:style w:type="paragraph" w:styleId="MHeader2" w:customStyle="1">
    <w:name w:val="M.Header2"/>
    <w:basedOn w:val="MHeader"/>
    <w:link w:val="MHeader2Char"/>
    <w:qFormat/>
    <w:rsid w:val="00EA05D3"/>
    <w:pPr>
      <w:spacing w:after="100" w:line="240" w:lineRule="auto"/>
    </w:pPr>
    <w:rPr>
      <w:sz w:val="26"/>
    </w:rPr>
  </w:style>
  <w:style w:type="paragraph" w:styleId="MIndHeader2" w:customStyle="1">
    <w:name w:val="M.Ind.Header2"/>
    <w:basedOn w:val="MIndHeader"/>
    <w:link w:val="MIndHeader2Char"/>
    <w:qFormat/>
    <w:rsid w:val="00EA05D3"/>
    <w:rPr>
      <w:sz w:val="32"/>
    </w:rPr>
  </w:style>
  <w:style w:type="character" w:styleId="MHeader2Char" w:customStyle="1">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styleId="MIndHeader2Char" w:customStyle="1">
    <w:name w:val="M.Ind.Header2 Char"/>
    <w:basedOn w:val="MIndHeaderChar"/>
    <w:link w:val="MIndHeader2"/>
    <w:rsid w:val="00EA05D3"/>
    <w:rPr>
      <w:rFonts w:eastAsia="Times New Roman" w:cs="Times New Roman"/>
      <w:color w:val="1C75BC"/>
      <w:sz w:val="32"/>
      <w:shd w:val="clear" w:color="auto" w:fill="F5F5F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02822">
      <w:bodyDiv w:val="1"/>
      <w:marLeft w:val="0"/>
      <w:marRight w:val="0"/>
      <w:marTop w:val="0"/>
      <w:marBottom w:val="0"/>
      <w:divBdr>
        <w:top w:val="none" w:sz="0" w:space="0" w:color="auto"/>
        <w:left w:val="none" w:sz="0" w:space="0" w:color="auto"/>
        <w:bottom w:val="none" w:sz="0" w:space="0" w:color="auto"/>
        <w:right w:val="none" w:sz="0" w:space="0" w:color="auto"/>
      </w:divBdr>
    </w:div>
    <w:div w:id="827133331">
      <w:bodyDiv w:val="1"/>
      <w:marLeft w:val="0"/>
      <w:marRight w:val="0"/>
      <w:marTop w:val="0"/>
      <w:marBottom w:val="0"/>
      <w:divBdr>
        <w:top w:val="none" w:sz="0" w:space="0" w:color="auto"/>
        <w:left w:val="none" w:sz="0" w:space="0" w:color="auto"/>
        <w:bottom w:val="none" w:sz="0" w:space="0" w:color="auto"/>
        <w:right w:val="none" w:sz="0" w:space="0" w:color="auto"/>
      </w:divBdr>
    </w:div>
    <w:div w:id="101195071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8477642">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35319191">
      <w:bodyDiv w:val="1"/>
      <w:marLeft w:val="0"/>
      <w:marRight w:val="0"/>
      <w:marTop w:val="0"/>
      <w:marBottom w:val="0"/>
      <w:divBdr>
        <w:top w:val="none" w:sz="0" w:space="0" w:color="auto"/>
        <w:left w:val="none" w:sz="0" w:space="0" w:color="auto"/>
        <w:bottom w:val="none" w:sz="0" w:space="0" w:color="auto"/>
        <w:right w:val="none" w:sz="0" w:space="0" w:color="auto"/>
      </w:divBdr>
    </w:div>
    <w:div w:id="1315790507">
      <w:bodyDiv w:val="1"/>
      <w:marLeft w:val="0"/>
      <w:marRight w:val="0"/>
      <w:marTop w:val="0"/>
      <w:marBottom w:val="0"/>
      <w:divBdr>
        <w:top w:val="none" w:sz="0" w:space="0" w:color="auto"/>
        <w:left w:val="none" w:sz="0" w:space="0" w:color="auto"/>
        <w:bottom w:val="none" w:sz="0" w:space="0" w:color="auto"/>
        <w:right w:val="none" w:sz="0" w:space="0" w:color="auto"/>
      </w:divBdr>
    </w:div>
    <w:div w:id="1654797451">
      <w:bodyDiv w:val="1"/>
      <w:marLeft w:val="0"/>
      <w:marRight w:val="0"/>
      <w:marTop w:val="0"/>
      <w:marBottom w:val="0"/>
      <w:divBdr>
        <w:top w:val="none" w:sz="0" w:space="0" w:color="auto"/>
        <w:left w:val="none" w:sz="0" w:space="0" w:color="auto"/>
        <w:bottom w:val="none" w:sz="0" w:space="0" w:color="auto"/>
        <w:right w:val="none" w:sz="0" w:space="0" w:color="auto"/>
      </w:divBdr>
    </w:div>
    <w:div w:id="1662275299">
      <w:bodyDiv w:val="1"/>
      <w:marLeft w:val="0"/>
      <w:marRight w:val="0"/>
      <w:marTop w:val="0"/>
      <w:marBottom w:val="0"/>
      <w:divBdr>
        <w:top w:val="none" w:sz="0" w:space="0" w:color="auto"/>
        <w:left w:val="none" w:sz="0" w:space="0" w:color="auto"/>
        <w:bottom w:val="none" w:sz="0" w:space="0" w:color="auto"/>
        <w:right w:val="none" w:sz="0" w:space="0" w:color="auto"/>
      </w:divBdr>
    </w:div>
    <w:div w:id="1865943234">
      <w:bodyDiv w:val="1"/>
      <w:marLeft w:val="0"/>
      <w:marRight w:val="0"/>
      <w:marTop w:val="0"/>
      <w:marBottom w:val="0"/>
      <w:divBdr>
        <w:top w:val="none" w:sz="0" w:space="0" w:color="auto"/>
        <w:left w:val="none" w:sz="0" w:space="0" w:color="auto"/>
        <w:bottom w:val="none" w:sz="0" w:space="0" w:color="auto"/>
        <w:right w:val="none" w:sz="0" w:space="0" w:color="auto"/>
      </w:divBdr>
    </w:div>
    <w:div w:id="1899318135">
      <w:bodyDiv w:val="1"/>
      <w:marLeft w:val="0"/>
      <w:marRight w:val="0"/>
      <w:marTop w:val="0"/>
      <w:marBottom w:val="0"/>
      <w:divBdr>
        <w:top w:val="none" w:sz="0" w:space="0" w:color="auto"/>
        <w:left w:val="none" w:sz="0" w:space="0" w:color="auto"/>
        <w:bottom w:val="none" w:sz="0" w:space="0" w:color="auto"/>
        <w:right w:val="none" w:sz="0" w:space="0" w:color="auto"/>
      </w:divBdr>
    </w:div>
    <w:div w:id="21106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oecd.org/dac/stats/methodology.htm"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oecd.org/dac/stats/documentupload/DCDDAC(2016)3FINAL.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ecd.org/dac/stats/officialdevelopmentassistancedefinitionandcoverage.htm"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footer" Target="footer.xml" Id="R0c2010cd1da1448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563B01-2A93-4F55-B51E-5DE40F4290E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United Nations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Zin Lin</dc:creator>
  <lastModifiedBy>Kebebush Welkema</lastModifiedBy>
  <revision>4</revision>
  <lastPrinted>2016-07-16T14:25:00.0000000Z</lastPrinted>
  <dcterms:created xsi:type="dcterms:W3CDTF">2020-12-17T06:57:00.0000000Z</dcterms:created>
  <dcterms:modified xsi:type="dcterms:W3CDTF">2021-12-09T18:05:12.5059696Z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