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D2" w:rsidRPr="00800ED9" w:rsidRDefault="006D5FD2" w:rsidP="006D5FD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eastAsia="Times New Roman" w:hAnsi="Times New Roman" w:cs="Times New Roman"/>
          <w:b/>
          <w:sz w:val="24"/>
          <w:szCs w:val="24"/>
        </w:rPr>
        <w:t>Цель 2. Ликвидация голода, обеспечение продовольственной безопасности и улучшения питания и содействие устойчивому развитию сельского хозяйства</w:t>
      </w:r>
      <w:r w:rsidRPr="00800ED9">
        <w:rPr>
          <w:rFonts w:ascii="Times New Roman" w:hAnsi="Times New Roman" w:cs="Times New Roman"/>
          <w:b/>
          <w:sz w:val="24"/>
          <w:szCs w:val="24"/>
        </w:rPr>
        <w:t>.</w:t>
      </w:r>
    </w:p>
    <w:p w:rsidR="006D5FD2" w:rsidRPr="00800ED9" w:rsidRDefault="006D5FD2" w:rsidP="006D5FD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ED9">
        <w:rPr>
          <w:rFonts w:ascii="Times New Roman" w:eastAsia="Times New Roman" w:hAnsi="Times New Roman" w:cs="Times New Roman"/>
          <w:b/>
          <w:sz w:val="24"/>
          <w:szCs w:val="24"/>
        </w:rPr>
        <w:t>Задача 2.a: Увеличить инвестирование, в том числе посредством активизации международного сотрудничества, в сельскую инфраструктуру, сельскохозяйственные исследования и агропропаганду, развитие технологий и создание генетических банков растений и животных в целях укрепления потенциала развивающихся стран, особенно наименее развитых стран, в области сельскохозяйственного производства.</w:t>
      </w:r>
    </w:p>
    <w:p w:rsidR="006D5FD2" w:rsidRPr="00800ED9" w:rsidRDefault="006D5FD2" w:rsidP="006D5FD2">
      <w:pPr>
        <w:spacing w:before="100" w:beforeAutospacing="1" w:after="100" w:afterAutospacing="1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00ED9">
        <w:rPr>
          <w:rFonts w:ascii="Times New Roman" w:hAnsi="Times New Roman" w:cs="Times New Roman"/>
          <w:b/>
          <w:color w:val="0070C0"/>
          <w:sz w:val="24"/>
          <w:szCs w:val="24"/>
        </w:rPr>
        <w:t>Показатель 2.a.1 Индекс ориентированности на сельское хозяйство, определяемый по структуре государственных расходов.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2A6775" w:rsidRDefault="006D5FD2" w:rsidP="006D5FD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Институциональная информация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Организация(и):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Продовольственная и сельскохозяйственная организация Объединенных Наций (FAO)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2A6775" w:rsidRDefault="006D5FD2" w:rsidP="006D5FD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Концепции и определения 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Определение:</w:t>
      </w:r>
    </w:p>
    <w:p w:rsidR="006D5FD2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Индекс ориентации государственных расходов на сельское хозяйство (AOI) определяется как соотношение доли государственных расходов на сельское хозяйство к доле сельского хозяйства в ВВП, где сельское хозяйство включает в себя земледелие, лесного хозяйство, рыболовство и охоту. Валюта в данном индексе не учитывается, поскольку он рассчитывается как соотношение двух долей. Национальным правительствам предлагается привести правительственные расходы в соответствие с международной классификацией функций правительства (Classification of Functions of Government – COFOC) и доли сельского хозяйства в ВВП в соответствии с Системой национальных счетов (СНС).</w:t>
      </w:r>
    </w:p>
    <w:p w:rsidR="006D5FD2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Обоснование: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lastRenderedPageBreak/>
        <w:t>Если значение индекса ориентации на сельское хозяйство (AOI) превышает 1, то это говорит о высокой ориентации на сельскохозяйственный сектор, затраты на который превышают его вклад в экономическую добавленную стоимость. Значение AOI меньше 1 отражает более низкую ориентацию на сельское хозяйство, тогда как AOI, равный 1, показывает нейтралитет в ориентации правительства на сельскохозяйственный сектор.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Государственные расходы в области сельского хозяйства включают: расходы на секторальную политику и программы, расходы по улучшению качества почв и контроль деградации почв, орошение и водоснабжение для сельскохозяйственных нужд, наблюдение за здоровьем животных, исследования в животноводстве и обучение животноводству, морские или пресноводные биологические исследования, мероприятия в области облесения и других лесохозяйственных проектов и т.п.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Расходы на эти сельскохозяйственные мероприятия помогают повысить эффективность сектора, производительность и рост доходов за счет увеличения физического или человеческого капитала и сокращения межвременных бюджетных ограничений.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Тем не менее, частный сектор обычно недостаточно инвестирует в эту деятельность из-за наличия рыночных рисков (например, общедоступный характер исследований и разработок, положительные внешние эффекты от улучшения состояния почвы и воды, отсутствие доступа к конкурентному кредиту из-за асимметричной информации между производителями и финансовыми учреждениями и т. д.). Аналогичным образом, высокий риск, с которым сталкиваются сельхозпроизводители, в частности мелкие фермеры, неспособные застраховаться от риска, часто требует вмешательства правительства в отношении перераспределения доходов для поддержки мелких фермеров, хозяйства которых (растениеводство, домашний скот) несут ущерб от вредителей, засухи, наводнений, сбоев в инфраструктуре или серьезных изменений цен.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Государственные расходы в сельском хозяйстве направлены на устранение этих рыночных сбоев и на перераспределение доходов. Это приводит к ряду потенциальных индикаторов для целей устойчивого развития (ЦУР), которые включают: 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а) уровень государственных расходов в сельском хозяйстве (GEA); 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00ED9">
        <w:rPr>
          <w:rFonts w:ascii="Times New Roman" w:hAnsi="Times New Roman" w:cs="Times New Roman"/>
          <w:sz w:val="24"/>
          <w:szCs w:val="24"/>
        </w:rPr>
        <w:t>) доля сельского хозяйства в государственных расходах;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с) индекс ориентации государственных расходов на сельское хозяйство (AOI) для государственных расходов.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Показатель, который измеряет уровни GEA, не учитывает размер экономики. Если две страны, A и B, имеют одинаковый уровень GEA и вклад в сельское хозяйство в ВВП, но экономика страны A в 10 раз выше, чем экономика в стране B, при установлении того же целевого уровня для GEA не учитываются экономические показатели.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lastRenderedPageBreak/>
        <w:t>Показателем, который измеряет долю сельского хозяйства в государственных расходах, не учитывается относительный вклад сельскохозяйственного сектора в ВВП страны. Рассмотрим две страны с одинаковым размером экономики: C и D, где сельское хозяйство составляет 2% и 10% от ВВП соответственно. Если общие государственные расходы равны в обеих странах, то C будет иметь более высокие относительные инвестиции в сельское хозяйство, чем D. Если общие государственные расходы отличаются друг от друга, то результат может быть преувеличенным или неточным.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Индекс AOI учитывает экономические показатели страны, вклад сельского хозяйства в ВВП и общую сумму правительственных расходов. Таким образом, это позволяет установить всеобщую и достижимую цель. Тем не менее, полезно интерпретировать AOI по числителю и знаменателю отдельно: по доле сельского хозяйства в государственных расходах и по доле сельского хозяйства в ВВП.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800ED9">
        <w:rPr>
          <w:rFonts w:ascii="Times New Roman" w:hAnsi="Times New Roman" w:cs="Times New Roman"/>
          <w:b/>
          <w:sz w:val="24"/>
          <w:szCs w:val="24"/>
        </w:rPr>
        <w:t>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Сельское хозяйство включает в себя земледельческое хозяйство, лесное хозяйство, рыболовство и охоту, иными словами, раздел А Международной стандартной отраслевой классификации всех видов экономической деятельности версии МСОК 4 (что соответствует разделу A + B версии МСОК 3.2). 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Государственные расходы – это расходы и приобретение нефинансовых активов, связанных с поддержкой конкретного сектора, как это определено в Руководстве по статистике государственных финансов (РСГФ) 2014 года, разработанном Международным валютным фондом (МВФ). 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Государственные расходы классифицируются в соответствии с классификацией функций правительства (COFOG), классификация разработана Организацией экономического сотрудничества и развития (ОЭСР) и опубликована Статистическим отделом Организации Объединенных Наций (СОООН).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Сельскохозяйственная добавленная стоимость и ВВП основана на Системе национальных счетов (СНС).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Поскольку числитель этих данных основан на административных источниках, нет доверительного интервала или стандартной ошибки, связанной с данными государственных расходов. Для знаменателя данные национальных счетов обычно не предоставляют никакой информации о стандартных ошибках или доверительных интервалах.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lastRenderedPageBreak/>
        <w:t>Главным недостатком этого показателя является то, что он учитывает только расходы центрального правительства. В тех странах, где существует более сильное вмешательство в сельское хозяйство, деятельность субнациональных правительств не будет приниматься во внимание.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2A6775" w:rsidRDefault="006D5FD2" w:rsidP="006D5FD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Методология 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Метод расчета: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  <w:lang w:val="en-US"/>
        </w:rPr>
        <w:t>AOI</w:t>
      </w:r>
      <w:r w:rsidRPr="00800ED9">
        <w:rPr>
          <w:rFonts w:ascii="Times New Roman" w:hAnsi="Times New Roman" w:cs="Times New Roman"/>
          <w:sz w:val="24"/>
          <w:szCs w:val="24"/>
        </w:rPr>
        <w:t xml:space="preserve">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Доля государственных расходов правительства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Доля сельского хозяйства в ВВП</m:t>
            </m:r>
          </m:den>
        </m:f>
      </m:oMath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Где:</w:t>
      </w:r>
    </w:p>
    <w:p w:rsidR="006D5FD2" w:rsidRPr="00800ED9" w:rsidRDefault="006D5FD2" w:rsidP="006D5FD2">
      <w:pPr>
        <w:pStyle w:val="ListParagraph"/>
        <w:numPr>
          <w:ilvl w:val="0"/>
          <w:numId w:val="5"/>
        </w:numPr>
        <w:spacing w:before="100" w:beforeAutospacing="1" w:after="100" w:afterAutospacing="1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Доля сельского хозяйства в расходах правительства = 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Расходы центрального правительства на сельское хозяйство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Общие расходы центрального правительства</m:t>
            </m:r>
          </m:den>
        </m:f>
      </m:oMath>
      <w:r w:rsidRPr="00800E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0ED9">
        <w:rPr>
          <w:rFonts w:ascii="Times New Roman" w:hAnsi="Times New Roman" w:cs="Times New Roman"/>
          <w:sz w:val="24"/>
          <w:szCs w:val="24"/>
        </w:rPr>
        <w:t>* 100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pStyle w:val="ListParagraph"/>
        <w:numPr>
          <w:ilvl w:val="0"/>
          <w:numId w:val="5"/>
        </w:numPr>
        <w:spacing w:before="100" w:beforeAutospacing="1" w:after="100" w:afterAutospacing="1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Доля сельского хозяйства в ВВП =</w:t>
      </w:r>
    </w:p>
    <w:p w:rsidR="006D5FD2" w:rsidRPr="00800ED9" w:rsidRDefault="006D5FD2" w:rsidP="006D5FD2">
      <w:pPr>
        <w:pStyle w:val="ListParagraph"/>
        <w:spacing w:before="100" w:beforeAutospacing="1" w:after="100" w:afterAutospacing="1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Валовая добавленная стоимость сельского хозяйства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ВВП</m:t>
            </m:r>
          </m:den>
        </m:f>
      </m:oMath>
      <w:r w:rsidRPr="00800ED9">
        <w:rPr>
          <w:rFonts w:ascii="Times New Roman" w:eastAsiaTheme="minorEastAsia" w:hAnsi="Times New Roman" w:cs="Times New Roman"/>
          <w:sz w:val="24"/>
          <w:szCs w:val="24"/>
        </w:rPr>
        <w:t xml:space="preserve"> * 100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Сельское хозяйство относится к разделу А из новой редакции МСОК 4 (сельское хозяйство, лесное хозяйство, рыболовство и охота), который соответствует разделам А и В редакции МСОК 3.2.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Поскольку этот показатель основан на данных национальных счетов и общих расходах центрального правительства, он не учитывает особенности демографических характеристик и географического положения.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6D5FD2" w:rsidRPr="008544B2" w:rsidRDefault="006D5FD2" w:rsidP="006D5FD2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544B2">
        <w:rPr>
          <w:rFonts w:ascii="Times New Roman" w:hAnsi="Times New Roman" w:cs="Times New Roman"/>
          <w:b/>
          <w:color w:val="0070C0"/>
          <w:sz w:val="24"/>
          <w:szCs w:val="24"/>
        </w:rPr>
        <w:t>На уровне страны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lastRenderedPageBreak/>
        <w:t>В настоящее время не осуществляется обработка отсутствующих значений.</w:t>
      </w:r>
    </w:p>
    <w:p w:rsidR="006D5FD2" w:rsidRPr="008544B2" w:rsidRDefault="006D5FD2" w:rsidP="006D5FD2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544B2">
        <w:rPr>
          <w:rFonts w:ascii="Times New Roman" w:hAnsi="Times New Roman" w:cs="Times New Roman"/>
          <w:b/>
          <w:color w:val="0070C0"/>
          <w:sz w:val="24"/>
          <w:szCs w:val="24"/>
        </w:rPr>
        <w:t>На региональном и глобальном уровнях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В настоящее время не осуществляется обработка отсутствующих значений, поэтому региональные и глобальные показатели рассчитываются исключительно для тех стран, для которых имеются данные. Это может привести к тому, что пользователи будут интерпретировать эти показатели, как относящиеся ко всем странам региона, что эквивалентно рассмотрению стран с отсутствующими данными, как если бы они были такими же, как те, для которых имеются данные.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Глобальные и региональные оценки составляются путем первоначального суммирования по отдельным странам следующих четырех компонентов индекса: государственных расходов на сельское хозяйство, общих государственных расходов, добавленной стоимости сельского хозяйства и ВВП. Они добавляются только для тех стран региона (или в глобальном масштабе), для которых доступны все компоненты, после этого индекс вычисляется для этой более крупной области.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Причины расхождений: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Поскольку Продовольственная и сельскохозяйственная организация Объединенных Наций не изменяет данные о государственных расходах, сообщаемые странами, а использует оценки национальных счетов, опубликованные Статистическим отделом ООН (где могут быть внесены некоторые национальные данные), не должно быть разницы между данными, представленными Продовольственной и сельскохозяйственной организацией Объединенных Наций и национальными данными.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2A6775" w:rsidRDefault="006D5FD2" w:rsidP="006D5FD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Источники данных 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 xml:space="preserve">Данные о государственных расходах собираются из стран, заполняющих ежегодную анкету, составленную Продовольственной и сельскохозяйственной организацией Объединенных Наций. Поскольку страны обычно собирают данные о государственных расходах на основе своих финансовых систем, которые представляют собой административные данные, охватывающие полностью государственные расходы на </w:t>
      </w:r>
      <w:r w:rsidRPr="00800ED9">
        <w:rPr>
          <w:rFonts w:ascii="Times New Roman" w:hAnsi="Times New Roman" w:cs="Times New Roman"/>
          <w:sz w:val="24"/>
          <w:szCs w:val="24"/>
        </w:rPr>
        <w:lastRenderedPageBreak/>
        <w:t>уровне центрального правительства, то не существует проблемы выборки и нет возможности ошибки выборки. Для некоторых стран, которые не представляют такие данные Продовольственной и сельскохозяйственной организации Объединенных Наций, данные могут быть получены из МВФ (который собирает аналогичные данные, но охватывает больше секторов и с меньшей разбивкой раздела A классификации МСОК 4) или с официальных национальных правительственных веб-сайтов.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Данные о валовой добавленной стоимости сельского хозяйства и ВВП основаны на системе национальных счетов, которая представляет собой аналитическую структуру, в которой обобщаются национальные данные из совокупности данных обследований, переписей и административных (например, налоговых) источников. Эти данные получены из Статистического отдела ООН, который предоставляет оценки национальных счетов для 220 стран и территорий.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Процесс сбора данных: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Данные по государственным расходам (всего и по сельскому хозяйству) собираются из стран, заполнивших вопросник, выпущенный Продовольственной и сельскохозяйственной организацией Объединенных Наций, разработанный в сотрудничестве с МВФ. Данные из стран могут быть дополнены, для недостающих стран: данными, собранными МВФ или опубликованными на официальных национальных правительственных веб-сайтах. Официальные партнеры на страновом уровне, в зависимости от страны, являются представителями национального статистического управления, министерства финансов (или другого централизованного органа) или министерства сельского хозяйства. Проверки и консультации проводились через различные комиссии и комитеты Продовольственной и сельскохозяйственной организацией Объединенных Наций, включая две комиссии по статистике сельского хозяйства в Африке и в Азиатско-Тихоокеанском регионе, Комитет по сельскому хозяйству и животноводству в Латинской Америке и Карибском бассейне и Комитет по сельскому хозяйству там же.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2A6775" w:rsidRDefault="006D5FD2" w:rsidP="006D5FD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Доступность данных 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Описание: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Данные находятся в свободном доступе примерно для 100 стран. Однако различия в своевременности сбора, компиляции и отчетности данных свидетельствуют о том, что этот охват редко доступен в течение года T-1 или T-2, где T - текущий год.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lastRenderedPageBreak/>
        <w:t>Временные ряды: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 2001 по 2017 год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2A6775" w:rsidRDefault="006D5FD2" w:rsidP="006D5FD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Календарь 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 xml:space="preserve">Сбор данных: 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Сбор данных о государственных расходах на сельское хозяйство в 2018 году начнется в мае 2019 года, а выпуск данных запланирован на октябрь 2019 года. Из-за времени, необходимого для сбора, составления и публикации национальных данных, очень немногие страны смогут предоставить данные за 2018 год для цикла сбора данных ФАО весной 2019 года.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Выпуск данных: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Поскольку эти данные собираются ежегодно, следующий выпуск для этого показателя запланирован на октябрь 2019 года, который охватывает данные до базового 2018 года (для стран, для которых процесс сбора данных, компиляции и выпуска идет более быстро).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2A6775" w:rsidRDefault="006D5FD2" w:rsidP="006D5FD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Поставщики данных 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Министерство финансов, Центральное агентство планирования, Национальные службы статистики и/или Министерство сельского хозяйства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2A6775" w:rsidRDefault="006D5FD2" w:rsidP="006D5FD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t>Составители данных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Продовольственная и сельскохозяйственная организация ООН (</w:t>
      </w:r>
      <w:r w:rsidRPr="00800ED9">
        <w:rPr>
          <w:rFonts w:ascii="Times New Roman" w:hAnsi="Times New Roman" w:cs="Times New Roman"/>
          <w:sz w:val="24"/>
          <w:szCs w:val="24"/>
          <w:lang w:val="en-US"/>
        </w:rPr>
        <w:t>FAO</w:t>
      </w:r>
      <w:r w:rsidRPr="00800ED9">
        <w:rPr>
          <w:rFonts w:ascii="Times New Roman" w:hAnsi="Times New Roman" w:cs="Times New Roman"/>
          <w:sz w:val="24"/>
          <w:szCs w:val="24"/>
        </w:rPr>
        <w:t>)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2A6775" w:rsidRDefault="006D5FD2" w:rsidP="006D5FD2">
      <w:pPr>
        <w:pBdr>
          <w:bottom w:val="single" w:sz="12" w:space="4" w:color="DDDDDD"/>
        </w:pBd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6775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Ссылки </w:t>
      </w:r>
    </w:p>
    <w:p w:rsidR="006D5FD2" w:rsidRPr="002A6775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URL</w:t>
      </w:r>
      <w:r w:rsidRPr="00800ED9">
        <w:rPr>
          <w:rFonts w:ascii="Times New Roman" w:hAnsi="Times New Roman" w:cs="Times New Roman"/>
          <w:sz w:val="24"/>
          <w:szCs w:val="24"/>
        </w:rPr>
        <w:t>: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sz w:val="24"/>
          <w:szCs w:val="24"/>
        </w:rPr>
        <w:t>www.fao.org</w:t>
      </w:r>
    </w:p>
    <w:p w:rsidR="006D5FD2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00ED9">
        <w:rPr>
          <w:rFonts w:ascii="Times New Roman" w:hAnsi="Times New Roman" w:cs="Times New Roman"/>
          <w:b/>
          <w:sz w:val="24"/>
          <w:szCs w:val="24"/>
        </w:rPr>
        <w:t>Ссылки</w:t>
      </w:r>
      <w:r w:rsidRPr="00800ED9">
        <w:rPr>
          <w:rFonts w:ascii="Times New Roman" w:hAnsi="Times New Roman" w:cs="Times New Roman"/>
          <w:sz w:val="24"/>
          <w:szCs w:val="24"/>
        </w:rPr>
        <w:t>:</w:t>
      </w:r>
    </w:p>
    <w:p w:rsidR="006D5FD2" w:rsidRPr="00800ED9" w:rsidRDefault="006D5FD2" w:rsidP="006D5FD2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val="en-US"/>
        </w:rPr>
      </w:pPr>
      <w:r w:rsidRPr="00800ED9">
        <w:rPr>
          <w:rFonts w:ascii="Times New Roman" w:hAnsi="Times New Roman" w:cs="Times New Roman"/>
          <w:lang w:val="en-US"/>
        </w:rPr>
        <w:t xml:space="preserve">FAOSTAT domain of Government Expenditure on Agriculture http://www.fao.org/faostat/en/#data/IG ; </w:t>
      </w:r>
    </w:p>
    <w:p w:rsidR="006D5FD2" w:rsidRPr="00800ED9" w:rsidRDefault="006D5FD2" w:rsidP="006D5FD2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lang w:val="en-US"/>
        </w:rPr>
      </w:pPr>
      <w:r w:rsidRPr="00800ED9">
        <w:rPr>
          <w:rFonts w:ascii="Times New Roman" w:hAnsi="Times New Roman" w:cs="Times New Roman"/>
          <w:lang w:val="en-US"/>
        </w:rPr>
        <w:t xml:space="preserve">IMF Government Finance Statistics Manual 2014 https://www.imf.org/external/np/sta/gfsm/. </w:t>
      </w:r>
    </w:p>
    <w:p w:rsidR="006D5FD2" w:rsidRPr="00800ED9" w:rsidRDefault="006D5FD2" w:rsidP="006D5F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0A96" w:rsidRPr="006D5FD2" w:rsidRDefault="008D0A96" w:rsidP="006D5FD2">
      <w:pPr>
        <w:rPr>
          <w:lang w:val="en-US"/>
        </w:rPr>
      </w:pPr>
      <w:bookmarkStart w:id="0" w:name="_GoBack"/>
      <w:bookmarkEnd w:id="0"/>
    </w:p>
    <w:sectPr w:rsidR="008D0A96" w:rsidRPr="006D5FD2" w:rsidSect="0051031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3C" w:rsidRDefault="0069763C" w:rsidP="00DF71DD">
      <w:pPr>
        <w:spacing w:after="0" w:line="240" w:lineRule="auto"/>
      </w:pPr>
      <w:r>
        <w:separator/>
      </w:r>
    </w:p>
  </w:endnote>
  <w:endnote w:type="continuationSeparator" w:id="0">
    <w:p w:rsidR="0069763C" w:rsidRDefault="0069763C" w:rsidP="00DF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3C" w:rsidRDefault="0069763C" w:rsidP="00DF71DD">
      <w:pPr>
        <w:spacing w:after="0" w:line="240" w:lineRule="auto"/>
      </w:pPr>
      <w:r>
        <w:separator/>
      </w:r>
    </w:p>
  </w:footnote>
  <w:footnote w:type="continuationSeparator" w:id="0">
    <w:p w:rsidR="0069763C" w:rsidRDefault="0069763C" w:rsidP="00DF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1DD" w:rsidRDefault="00DF71DD" w:rsidP="00DF71DD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r w:rsidRPr="00DF71DD">
      <w:rPr>
        <w:rFonts w:ascii="Times New Roman" w:hAnsi="Times New Roman" w:cs="Times New Roman"/>
        <w:i/>
        <w:sz w:val="24"/>
        <w:szCs w:val="24"/>
      </w:rPr>
      <w:t>Неофициальный перевод</w:t>
    </w:r>
  </w:p>
  <w:p w:rsidR="00DF71DD" w:rsidRPr="00DF71DD" w:rsidRDefault="00DF71DD" w:rsidP="00DF71DD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158A"/>
    <w:multiLevelType w:val="hybridMultilevel"/>
    <w:tmpl w:val="207A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0BF8"/>
    <w:multiLevelType w:val="hybridMultilevel"/>
    <w:tmpl w:val="95C89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4ACB"/>
    <w:multiLevelType w:val="hybridMultilevel"/>
    <w:tmpl w:val="3288E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B3076"/>
    <w:multiLevelType w:val="hybridMultilevel"/>
    <w:tmpl w:val="019E46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7A8D8"/>
    <w:multiLevelType w:val="hybridMultilevel"/>
    <w:tmpl w:val="A6EA6C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8117978"/>
    <w:multiLevelType w:val="hybridMultilevel"/>
    <w:tmpl w:val="356CEF2C"/>
    <w:lvl w:ilvl="0" w:tplc="54F84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855"/>
    <w:rsid w:val="00012C04"/>
    <w:rsid w:val="000B163C"/>
    <w:rsid w:val="000B5ECE"/>
    <w:rsid w:val="000F3CE5"/>
    <w:rsid w:val="00112AD0"/>
    <w:rsid w:val="00157895"/>
    <w:rsid w:val="00203CFC"/>
    <w:rsid w:val="00244F52"/>
    <w:rsid w:val="002C6107"/>
    <w:rsid w:val="00351037"/>
    <w:rsid w:val="00403C8B"/>
    <w:rsid w:val="004607CB"/>
    <w:rsid w:val="00461372"/>
    <w:rsid w:val="004A7A18"/>
    <w:rsid w:val="0051031E"/>
    <w:rsid w:val="00552650"/>
    <w:rsid w:val="005E15F8"/>
    <w:rsid w:val="00637855"/>
    <w:rsid w:val="00652DF2"/>
    <w:rsid w:val="0069763C"/>
    <w:rsid w:val="006C0448"/>
    <w:rsid w:val="006D41BA"/>
    <w:rsid w:val="006D5FD2"/>
    <w:rsid w:val="006F4271"/>
    <w:rsid w:val="007456E1"/>
    <w:rsid w:val="00800ED9"/>
    <w:rsid w:val="00801B5D"/>
    <w:rsid w:val="00826E23"/>
    <w:rsid w:val="008544B2"/>
    <w:rsid w:val="0086226C"/>
    <w:rsid w:val="008B2AC8"/>
    <w:rsid w:val="008D0A96"/>
    <w:rsid w:val="008D2577"/>
    <w:rsid w:val="008F1FD2"/>
    <w:rsid w:val="0091089B"/>
    <w:rsid w:val="009452B7"/>
    <w:rsid w:val="00985C73"/>
    <w:rsid w:val="009B0865"/>
    <w:rsid w:val="009B7F03"/>
    <w:rsid w:val="009E01A0"/>
    <w:rsid w:val="009E4B56"/>
    <w:rsid w:val="00A02650"/>
    <w:rsid w:val="00A6005E"/>
    <w:rsid w:val="00A66A98"/>
    <w:rsid w:val="00A70F02"/>
    <w:rsid w:val="00B14522"/>
    <w:rsid w:val="00BA4AF3"/>
    <w:rsid w:val="00BE64D3"/>
    <w:rsid w:val="00BF4C60"/>
    <w:rsid w:val="00CF64C5"/>
    <w:rsid w:val="00D60977"/>
    <w:rsid w:val="00D61A83"/>
    <w:rsid w:val="00D84A86"/>
    <w:rsid w:val="00D87BC6"/>
    <w:rsid w:val="00D929AD"/>
    <w:rsid w:val="00DF200C"/>
    <w:rsid w:val="00DF71DD"/>
    <w:rsid w:val="00E13668"/>
    <w:rsid w:val="00E25E1B"/>
    <w:rsid w:val="00E631FD"/>
    <w:rsid w:val="00EA0483"/>
    <w:rsid w:val="00ED34FB"/>
    <w:rsid w:val="00ED52CC"/>
    <w:rsid w:val="00EE3452"/>
    <w:rsid w:val="00F03C0E"/>
    <w:rsid w:val="00F43C36"/>
    <w:rsid w:val="00F56D1F"/>
    <w:rsid w:val="00F7189A"/>
    <w:rsid w:val="00F73156"/>
    <w:rsid w:val="00FA10A8"/>
    <w:rsid w:val="00FA59AF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F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5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E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25E1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1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F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1DD"/>
  </w:style>
  <w:style w:type="paragraph" w:styleId="Footer">
    <w:name w:val="footer"/>
    <w:basedOn w:val="Normal"/>
    <w:link w:val="FooterChar"/>
    <w:uiPriority w:val="99"/>
    <w:unhideWhenUsed/>
    <w:rsid w:val="00DF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437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7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</dc:creator>
  <cp:keywords/>
  <dc:description/>
  <cp:lastModifiedBy>Microsoft Office User</cp:lastModifiedBy>
  <cp:revision>22</cp:revision>
  <dcterms:created xsi:type="dcterms:W3CDTF">2017-06-03T18:34:00Z</dcterms:created>
  <dcterms:modified xsi:type="dcterms:W3CDTF">2021-08-19T10:00:00Z</dcterms:modified>
</cp:coreProperties>
</file>