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Цель 2: Ликвидация голода, обеспечение продовольственной безопасности и улучшение питания и содействие устойчивому развитию сельского хозяйства</w:t>
      </w: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2.3: К 2030 году удвоить продуктивность сельского хозяйства и доходы мелких производителей продовольствия, в частности женщин, представителей коренных народов, фермерских семейных хозяйств, скотоводов и рыбаков, в том числе посредством обеспечения гарантированного и равного доступа к земле, другим производственным ресурсам и факторам сельскохозяйственного производства, знаниям, финансовым услугам, рынкам и возможностям для увеличения добавленной стоимости и занятости в несельскохозяйственных секторах</w:t>
      </w:r>
    </w:p>
    <w:p w:rsidR="00D543E7" w:rsidRPr="001F1047" w:rsidRDefault="00D543E7" w:rsidP="00D543E7">
      <w:pPr>
        <w:spacing w:before="100" w:beforeAutospacing="1" w:after="100" w:afterAutospacing="1"/>
        <w:jc w:val="both"/>
        <w:rPr>
          <w:rFonts w:ascii="Times New Roman" w:hAnsi="Times New Roman" w:cs="Times New Roman"/>
          <w:b/>
          <w:color w:val="0070C0"/>
          <w:sz w:val="24"/>
          <w:szCs w:val="24"/>
          <w:lang w:val="ru-RU"/>
        </w:rPr>
      </w:pPr>
      <w:r w:rsidRPr="002724C2">
        <w:rPr>
          <w:rFonts w:ascii="Times New Roman" w:hAnsi="Times New Roman" w:cs="Times New Roman"/>
          <w:b/>
          <w:color w:val="0070C0"/>
          <w:sz w:val="24"/>
          <w:szCs w:val="24"/>
          <w:lang w:val="ru-RU"/>
        </w:rPr>
        <w:t>2.3.2: Средний доход мелких производителей продовольственной продукции в разбивке по полу и статусу принадлежности к коренным народам</w:t>
      </w:r>
    </w:p>
    <w:p w:rsidR="00D543E7" w:rsidRPr="001F104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sidRPr="00D543E7">
        <w:rPr>
          <w:rFonts w:ascii="Times New Roman" w:hAnsi="Times New Roman" w:cs="Times New Roman"/>
          <w:b/>
          <w:color w:val="0070C0"/>
          <w:sz w:val="24"/>
          <w:szCs w:val="24"/>
          <w:lang w:val="ru-RU"/>
        </w:rPr>
        <w:t>Институциональная информация</w:t>
      </w:r>
    </w:p>
    <w:p w:rsidR="00D543E7" w:rsidRPr="00B27A0B"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Организация(и):</w:t>
      </w:r>
    </w:p>
    <w:p w:rsidR="00D543E7" w:rsidRPr="001F1047"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ФАО ООН  </w:t>
      </w:r>
    </w:p>
    <w:p w:rsidR="00D543E7" w:rsidRP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sidRPr="00C638C5">
        <w:rPr>
          <w:rFonts w:ascii="Times New Roman" w:hAnsi="Times New Roman" w:cs="Times New Roman"/>
          <w:b/>
          <w:color w:val="0070C0"/>
          <w:sz w:val="24"/>
          <w:szCs w:val="24"/>
          <w:lang w:val="ru-RU"/>
        </w:rPr>
        <w:t xml:space="preserve">Концепции </w:t>
      </w:r>
      <w:r w:rsidRPr="00D543E7">
        <w:rPr>
          <w:rFonts w:ascii="Times New Roman" w:hAnsi="Times New Roman" w:cs="Times New Roman"/>
          <w:b/>
          <w:color w:val="0070C0"/>
          <w:sz w:val="24"/>
          <w:szCs w:val="24"/>
          <w:lang w:val="ru-RU"/>
        </w:rPr>
        <w:t xml:space="preserve">и определения </w:t>
      </w:r>
    </w:p>
    <w:p w:rsidR="00D543E7" w:rsidRPr="00B27A0B"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Определение</w:t>
      </w:r>
      <w:r>
        <w:rPr>
          <w:rFonts w:ascii="Times New Roman" w:hAnsi="Times New Roman" w:cs="Times New Roman"/>
          <w:b/>
          <w:sz w:val="24"/>
          <w:szCs w:val="24"/>
          <w:lang w:val="ru-RU"/>
        </w:rPr>
        <w:t>:</w:t>
      </w:r>
      <w:r w:rsidRPr="002724C2">
        <w:rPr>
          <w:rFonts w:ascii="Times New Roman" w:hAnsi="Times New Roman" w:cs="Times New Roman"/>
          <w:b/>
          <w:sz w:val="24"/>
          <w:szCs w:val="24"/>
          <w:lang w:val="ru-RU"/>
        </w:rPr>
        <w:t xml:space="preserve"> </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Показатель 2.3.2 ЦУР измеряет доходы от производственной деятельности на ферме, которая связана с производством продуктов питания и сельскохозяйственной продукции. Сюда входят доходы от растениеводства, животноводства, рыболовства и производства аквакультуры, а также от производства лесного хозяйства.</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Показатель рассчитывается как годовой доход.</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ФАО предлагает определить мелких производителей продуктов питания в качестве производителей, которые:</w:t>
      </w:r>
    </w:p>
    <w:p w:rsidR="00D543E7" w:rsidRPr="002724C2" w:rsidRDefault="00D543E7" w:rsidP="00D543E7">
      <w:pPr>
        <w:pStyle w:val="ListParagraph"/>
        <w:numPr>
          <w:ilvl w:val="0"/>
          <w:numId w:val="6"/>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lastRenderedPageBreak/>
        <w:t xml:space="preserve">управляют количеством земли, приходящимся на первые два квинтиля (нижние 40 процентов) совокупного распределения размера земли на национальном уровне (измеряется в гектарах); и </w:t>
      </w:r>
    </w:p>
    <w:p w:rsidR="00D543E7" w:rsidRPr="002724C2" w:rsidRDefault="00D543E7" w:rsidP="00D543E7">
      <w:pPr>
        <w:pStyle w:val="ListParagraph"/>
        <w:numPr>
          <w:ilvl w:val="0"/>
          <w:numId w:val="6"/>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управляют поголовьем скота, приходящимся на первые два квинтиля (нижние 40 процентов) совокупного распределения поголовья скота на единицу продукции на национальном уровне (измеряется в тропических единицах поголовья – TLUs); и </w:t>
      </w:r>
    </w:p>
    <w:p w:rsidR="00D543E7" w:rsidRPr="002724C2" w:rsidRDefault="00D543E7" w:rsidP="00D543E7">
      <w:pPr>
        <w:pStyle w:val="ListParagraph"/>
        <w:numPr>
          <w:ilvl w:val="0"/>
          <w:numId w:val="6"/>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получают ежегодные экономические доходы от сельскохозяйственной деятельности, приходящиеся на первые два квинтиля (нижние 40 процентов) совокупного распределения экономических доходов от сельскохозяйственной деятельности на единицу продукции на национальном уровне (измеряемого в долларах паритета покупательной способности), не превышающие 34,387 долларов паритета покупательной способности.</w:t>
      </w:r>
    </w:p>
    <w:p w:rsid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Обоснование:</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В повестке дня в области устойчивого развития на период до 2030 года подчеркивается важность увеличения доходов мелких производителей продовольствия, поскольку эти производители играют важную роль в глобальном производстве продовольствия. Показатель отслеживает прогресс в этой области, где поставлена цель удвоить доходы к 2030 году. </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Увеличение доходов мелких производственных единиц также сказывается на сокращении масштабов нищеты, поскольку мелкие производители продовольствия зачастую являются бедными и зачастую оказываются близкими к минимальным условиям существования.</w:t>
      </w:r>
    </w:p>
    <w:p w:rsid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 xml:space="preserve">Основные понятия: </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Для расчета показателя 2.3.2 приняты следующие основные понятия: </w:t>
      </w:r>
    </w:p>
    <w:p w:rsidR="00D543E7" w:rsidRPr="002724C2" w:rsidRDefault="00D543E7" w:rsidP="00D543E7">
      <w:pPr>
        <w:pStyle w:val="ListParagraph"/>
        <w:numPr>
          <w:ilvl w:val="0"/>
          <w:numId w:val="7"/>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Мелкие производители продовольствия определяются как те, которые находятся на пересечении нижних 40 процентов совокупного распределения земли, скота и доходов.</w:t>
      </w:r>
    </w:p>
    <w:p w:rsidR="00D543E7" w:rsidRPr="002724C2" w:rsidRDefault="00D543E7" w:rsidP="00D543E7">
      <w:pPr>
        <w:pStyle w:val="ListParagraph"/>
        <w:numPr>
          <w:ilvl w:val="0"/>
          <w:numId w:val="7"/>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Тропическая шкала преобразования площади животноводческих единиц (</w:t>
      </w:r>
      <w:r w:rsidRPr="002724C2">
        <w:rPr>
          <w:rFonts w:ascii="Times New Roman" w:hAnsi="Times New Roman" w:cs="Times New Roman"/>
          <w:sz w:val="24"/>
          <w:szCs w:val="24"/>
        </w:rPr>
        <w:t>TLU</w:t>
      </w:r>
      <w:r w:rsidRPr="002724C2">
        <w:rPr>
          <w:rFonts w:ascii="Times New Roman" w:hAnsi="Times New Roman" w:cs="Times New Roman"/>
          <w:sz w:val="24"/>
          <w:szCs w:val="24"/>
          <w:lang w:val="ru-RU"/>
        </w:rPr>
        <w:t xml:space="preserve">), используемая для стандартизации и измерения количества голов скота. Один TLU является эквивалентом метаболического веса одного крупного рогатого скота в Северной Америке.  Полный список коэффициентов пересчета можно найти в </w:t>
      </w:r>
      <w:hyperlink r:id="rId7" w:history="1">
        <w:r w:rsidRPr="002724C2">
          <w:rPr>
            <w:rStyle w:val="Hyperlink"/>
            <w:rFonts w:ascii="Times New Roman" w:hAnsi="Times New Roman" w:cs="Times New Roman"/>
            <w:sz w:val="24"/>
            <w:szCs w:val="24"/>
            <w:lang w:val="ru-RU"/>
          </w:rPr>
          <w:t>Руководстве по подготовке обзоров сектора животноводства</w:t>
        </w:r>
      </w:hyperlink>
      <w:r w:rsidRPr="002724C2">
        <w:rPr>
          <w:rFonts w:ascii="Times New Roman" w:hAnsi="Times New Roman" w:cs="Times New Roman"/>
          <w:sz w:val="24"/>
          <w:szCs w:val="24"/>
          <w:lang w:val="ru-RU"/>
        </w:rPr>
        <w:t>.</w:t>
      </w:r>
    </w:p>
    <w:p w:rsidR="00D543E7" w:rsidRPr="002724C2" w:rsidRDefault="00D543E7" w:rsidP="00D543E7">
      <w:pPr>
        <w:pStyle w:val="ListParagraph"/>
        <w:numPr>
          <w:ilvl w:val="0"/>
          <w:numId w:val="7"/>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Расчет доходов основан на резолюции, принятой 17-й Международной конференцией статистиков труда (ICLS). Доход должен рассчитываться путем вычета из доходов операционных расходов и амортизации активов.</w:t>
      </w:r>
    </w:p>
    <w:p w:rsidR="00D543E7" w:rsidRPr="002724C2" w:rsidRDefault="00D543E7" w:rsidP="00D543E7">
      <w:pPr>
        <w:tabs>
          <w:tab w:val="left" w:pos="2552"/>
          <w:tab w:val="left" w:pos="4253"/>
        </w:tabs>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lastRenderedPageBreak/>
        <w:t>Комментарии и ограничения</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Основным ограничением, препятствующим мониторингу этого показателя, является доступность данных. Действительно, данные о доходах и расходах от внутрихозяйственной деятельности не всегда доступны.</w:t>
      </w:r>
    </w:p>
    <w:p w:rsidR="00D543E7" w:rsidRP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sidRPr="00D543E7">
        <w:rPr>
          <w:rFonts w:ascii="Times New Roman" w:hAnsi="Times New Roman" w:cs="Times New Roman"/>
          <w:b/>
          <w:color w:val="0070C0"/>
          <w:sz w:val="24"/>
          <w:szCs w:val="24"/>
          <w:lang w:val="ru-RU"/>
        </w:rPr>
        <w:t xml:space="preserve">Методология </w:t>
      </w:r>
    </w:p>
    <w:p w:rsidR="00D543E7" w:rsidRPr="00B27A0B"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tabs>
          <w:tab w:val="left" w:pos="4111"/>
        </w:tabs>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Метод расчета:</w:t>
      </w:r>
    </w:p>
    <w:p w:rsidR="00D543E7" w:rsidRPr="002724C2" w:rsidRDefault="00D543E7" w:rsidP="00D543E7">
      <w:pPr>
        <w:tabs>
          <w:tab w:val="left" w:pos="4111"/>
        </w:tabs>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Учитывая, что i - сельскохозяйственные виды деятельности, включая сельскохозяйственные культуры, животноводство, рыболовство и лесное хозяйство, и j [1, ..., n] мелкомасштабные производители продуктов питания, определенные в первом разделе как подмножество всех производителей продуктов питания N [1, ..., k] индикатор 2.3.2 ЦУР должен быть рассчитан по следующей формуле:</w:t>
      </w:r>
    </w:p>
    <w:p w:rsidR="00D543E7" w:rsidRPr="002724C2" w:rsidRDefault="00D543E7" w:rsidP="00D543E7">
      <w:pPr>
        <w:spacing w:before="100" w:beforeAutospacing="1" w:after="100" w:afterAutospacing="1"/>
        <w:jc w:val="both"/>
        <w:rPr>
          <w:rFonts w:ascii="Times New Roman" w:eastAsiaTheme="minorEastAsia" w:hAnsi="Times New Roman" w:cs="Times New Roman"/>
          <w:sz w:val="24"/>
          <w:szCs w:val="24"/>
          <w:lang w:val="ru-RU"/>
        </w:rPr>
      </w:pPr>
      <m:oMathPara>
        <m:oMathParaPr>
          <m:jc m:val="center"/>
        </m:oMathParaPr>
        <m:oMath>
          <m:r>
            <m:rPr>
              <m:sty m:val="p"/>
            </m:rPr>
            <w:rPr>
              <w:rFonts w:ascii="Cambria Math" w:hAnsi="Cambria Math" w:cs="Times New Roman"/>
              <w:sz w:val="24"/>
              <w:szCs w:val="24"/>
            </w:rPr>
            <m:t>ЦУР</m:t>
          </m:r>
          <m:r>
            <m:rPr>
              <m:sty m:val="p"/>
            </m:rPr>
            <w:rPr>
              <w:rFonts w:ascii="Cambria Math" w:hAnsi="Cambria Math" w:cs="Times New Roman"/>
              <w:sz w:val="24"/>
              <w:szCs w:val="24"/>
              <w:lang w:val="ru-RU"/>
            </w:rPr>
            <m:t xml:space="preserve"> 2.3.2=</m:t>
          </m:r>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lang w:val="ru-RU"/>
                </w:rPr>
                <m:t>2.3.2</m:t>
              </m:r>
            </m:sub>
            <m:sup>
              <m:r>
                <w:rPr>
                  <w:rFonts w:ascii="Cambria Math" w:hAnsi="Cambria Math" w:cs="Times New Roman"/>
                  <w:sz w:val="24"/>
                  <w:szCs w:val="24"/>
                </w:rPr>
                <m:t>t</m:t>
              </m:r>
            </m:sup>
          </m:sSubSup>
          <m:r>
            <m:rPr>
              <m:sty m:val="p"/>
            </m:rPr>
            <w:rPr>
              <w:rFonts w:ascii="Cambria Math" w:hAnsi="Cambria Math" w:cs="Times New Roman"/>
              <w:sz w:val="24"/>
              <w:szCs w:val="24"/>
              <w:lang w:val="ru-RU"/>
            </w:rPr>
            <m:t>=</m:t>
          </m:r>
          <m:f>
            <m:fPr>
              <m:type m:val="lin"/>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lang w:val="ru-RU"/>
                    </w:rPr>
                    <m:t>=1</m:t>
                  </m:r>
                </m:sub>
                <m:sup>
                  <m:r>
                    <w:rPr>
                      <w:rFonts w:ascii="Cambria Math" w:hAnsi="Cambria Math" w:cs="Times New Roman"/>
                      <w:sz w:val="24"/>
                      <w:szCs w:val="24"/>
                    </w:rPr>
                    <m:t>n</m:t>
                  </m:r>
                </m:sup>
                <m:e>
                  <m:d>
                    <m:dPr>
                      <m:ctrlPr>
                        <w:rPr>
                          <w:rFonts w:ascii="Cambria Math" w:hAnsi="Cambria Math" w:cs="Times New Roman"/>
                          <w:sz w:val="24"/>
                          <w:szCs w:val="24"/>
                        </w:rPr>
                      </m:ctrlPr>
                    </m:dPr>
                    <m:e>
                      <m:nary>
                        <m:naryPr>
                          <m:chr m:val="∑"/>
                          <m:limLoc m:val="undOvr"/>
                          <m:supHide m:val="1"/>
                          <m:ctrlPr>
                            <w:rPr>
                              <w:rFonts w:ascii="Cambria Math" w:hAnsi="Cambria Math" w:cs="Times New Roman"/>
                              <w:sz w:val="24"/>
                              <w:szCs w:val="24"/>
                            </w:rPr>
                          </m:ctrlPr>
                        </m:naryPr>
                        <m:sub>
                          <m:r>
                            <w:rPr>
                              <w:rFonts w:ascii="Cambria Math" w:hAnsi="Cambria Math" w:cs="Times New Roman"/>
                              <w:sz w:val="24"/>
                              <w:szCs w:val="24"/>
                            </w:rPr>
                            <m:t>i</m:t>
                          </m:r>
                        </m:sub>
                        <m:sup/>
                        <m:e>
                          <m:sSubSup>
                            <m:sSubSupPr>
                              <m:ctrlPr>
                                <w:rPr>
                                  <w:rFonts w:ascii="Cambria Math" w:hAnsi="Cambria Math" w:cs="Times New Roman"/>
                                  <w:sz w:val="24"/>
                                  <w:szCs w:val="24"/>
                                </w:rPr>
                              </m:ctrlPr>
                            </m:sSubSupPr>
                            <m:e>
                              <m:r>
                                <m:rPr>
                                  <m:sty m:val="p"/>
                                </m:rPr>
                                <w:rPr>
                                  <w:rFonts w:ascii="Cambria Math" w:hAnsi="Cambria Math" w:cs="Times New Roman"/>
                                  <w:sz w:val="24"/>
                                  <w:szCs w:val="24"/>
                                  <w:lang w:val="ru-RU"/>
                                </w:rPr>
                                <m:t>(</m:t>
                              </m:r>
                              <m:r>
                                <w:rPr>
                                  <w:rFonts w:ascii="Cambria Math" w:hAnsi="Cambria Math" w:cs="Times New Roman"/>
                                  <w:sz w:val="24"/>
                                  <w:szCs w:val="24"/>
                                </w:rPr>
                                <m:t>V</m:t>
                              </m:r>
                            </m:e>
                            <m:sub>
                              <m:r>
                                <w:rPr>
                                  <w:rFonts w:ascii="Cambria Math" w:hAnsi="Cambria Math" w:cs="Times New Roman"/>
                                  <w:sz w:val="24"/>
                                  <w:szCs w:val="24"/>
                                </w:rPr>
                                <m:t>ij</m:t>
                              </m:r>
                            </m:sub>
                            <m:sup>
                              <m:r>
                                <w:rPr>
                                  <w:rFonts w:ascii="Cambria Math" w:hAnsi="Cambria Math" w:cs="Times New Roman"/>
                                  <w:sz w:val="24"/>
                                  <w:szCs w:val="24"/>
                                </w:rPr>
                                <m:t>t</m:t>
                              </m:r>
                            </m:sup>
                          </m:sSubSup>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ij</m:t>
                              </m:r>
                            </m:sub>
                            <m:sup>
                              <m:r>
                                <w:rPr>
                                  <w:rFonts w:ascii="Cambria Math" w:hAnsi="Cambria Math" w:cs="Times New Roman"/>
                                  <w:sz w:val="24"/>
                                  <w:szCs w:val="24"/>
                                </w:rPr>
                                <m:t>t</m:t>
                              </m:r>
                            </m:sup>
                          </m:sSubSup>
                        </m:e>
                      </m:nary>
                      <m:r>
                        <m:rPr>
                          <m:sty m:val="p"/>
                        </m:rPr>
                        <w:rPr>
                          <w:rFonts w:ascii="Cambria Math" w:hAnsi="Cambria Math" w:cs="Times New Roman"/>
                          <w:sz w:val="24"/>
                          <w:szCs w:val="24"/>
                          <w:lang w:val="ru-RU"/>
                        </w:rPr>
                        <m:t xml:space="preserve">- </m:t>
                      </m:r>
                      <m:sSubSup>
                        <m:sSubSupPr>
                          <m:ctrlPr>
                            <w:rPr>
                              <w:rFonts w:ascii="Cambria Math" w:hAnsi="Cambria Math" w:cs="Times New Roman"/>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r>
                            <w:rPr>
                              <w:rFonts w:ascii="Cambria Math" w:hAnsi="Cambria Math" w:cs="Times New Roman"/>
                              <w:sz w:val="24"/>
                              <w:szCs w:val="24"/>
                            </w:rPr>
                            <m:t>t</m:t>
                          </m:r>
                        </m:sup>
                      </m:sSubSup>
                    </m:e>
                  </m:d>
                </m:e>
              </m:nary>
            </m:num>
            <m:den>
              <m:r>
                <w:rPr>
                  <w:rFonts w:ascii="Cambria Math" w:hAnsi="Cambria Math" w:cs="Times New Roman"/>
                  <w:sz w:val="24"/>
                  <w:szCs w:val="24"/>
                </w:rPr>
                <m:t>n</m:t>
              </m:r>
            </m:den>
          </m:f>
        </m:oMath>
      </m:oMathPara>
    </w:p>
    <w:p w:rsidR="00D543E7" w:rsidRPr="002724C2" w:rsidRDefault="00D543E7" w:rsidP="00D543E7">
      <w:pPr>
        <w:spacing w:before="100" w:beforeAutospacing="1" w:after="100" w:afterAutospacing="1"/>
        <w:jc w:val="both"/>
        <w:rPr>
          <w:rFonts w:ascii="Times New Roman" w:eastAsiaTheme="minorEastAsia" w:hAnsi="Times New Roman" w:cs="Times New Roman"/>
          <w:sz w:val="24"/>
          <w:szCs w:val="24"/>
          <w:lang w:val="ru-RU"/>
        </w:rPr>
      </w:pPr>
      <w:r w:rsidRPr="002724C2">
        <w:rPr>
          <w:rFonts w:ascii="Times New Roman" w:eastAsiaTheme="minorEastAsia" w:hAnsi="Times New Roman" w:cs="Times New Roman"/>
          <w:sz w:val="24"/>
          <w:szCs w:val="24"/>
          <w:lang w:val="ru-RU"/>
        </w:rPr>
        <w:t>Где:</w:t>
      </w:r>
    </w:p>
    <w:p w:rsidR="00D543E7" w:rsidRPr="002724C2" w:rsidRDefault="00D543E7" w:rsidP="00D543E7">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V</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физический объем сельскохозяйственной продукции </w:t>
      </w:r>
      <w:r w:rsidRPr="002724C2">
        <w:rPr>
          <w:rFonts w:ascii="Times New Roman" w:hAnsi="Times New Roman" w:cs="Times New Roman"/>
          <w:sz w:val="24"/>
          <w:szCs w:val="24"/>
        </w:rPr>
        <w:t>i</w:t>
      </w:r>
      <w:r w:rsidRPr="002724C2">
        <w:rPr>
          <w:rFonts w:ascii="Times New Roman" w:hAnsi="Times New Roman" w:cs="Times New Roman"/>
          <w:sz w:val="24"/>
          <w:szCs w:val="24"/>
          <w:lang w:val="ru-RU"/>
        </w:rPr>
        <w:t xml:space="preserve">, реализуемой мелкомасштабным производителем продовольствия </w:t>
      </w:r>
      <w:r w:rsidRPr="002724C2">
        <w:rPr>
          <w:rFonts w:ascii="Times New Roman" w:hAnsi="Times New Roman" w:cs="Times New Roman"/>
          <w:sz w:val="24"/>
          <w:szCs w:val="24"/>
        </w:rPr>
        <w:t>j</w:t>
      </w:r>
      <w:r w:rsidRPr="002724C2">
        <w:rPr>
          <w:rFonts w:ascii="Times New Roman" w:hAnsi="Times New Roman" w:cs="Times New Roman"/>
          <w:sz w:val="24"/>
          <w:szCs w:val="24"/>
          <w:lang w:val="ru-RU"/>
        </w:rPr>
        <w:t xml:space="preserve"> в течение года </w:t>
      </w:r>
      <w:r w:rsidRPr="002724C2">
        <w:rPr>
          <w:rFonts w:ascii="Times New Roman" w:hAnsi="Times New Roman" w:cs="Times New Roman"/>
          <w:sz w:val="24"/>
          <w:szCs w:val="24"/>
        </w:rPr>
        <w:t>t</w:t>
      </w:r>
      <w:r w:rsidRPr="002724C2">
        <w:rPr>
          <w:rFonts w:ascii="Times New Roman" w:hAnsi="Times New Roman" w:cs="Times New Roman"/>
          <w:sz w:val="24"/>
          <w:szCs w:val="24"/>
          <w:lang w:val="ru-RU"/>
        </w:rPr>
        <w:t xml:space="preserve">; </w:t>
      </w:r>
    </w:p>
    <w:p w:rsidR="00D543E7" w:rsidRPr="002724C2" w:rsidRDefault="00D543E7" w:rsidP="00D543E7">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p</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постоянная продажная цена, полученная мелкомасштабным производителем продуктов питания j за сельскохозяйственный продукт i в течение того же года t; </w:t>
      </w:r>
    </w:p>
    <w:p w:rsidR="00D543E7" w:rsidRPr="002724C2" w:rsidRDefault="00D543E7" w:rsidP="00D543E7">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C</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стоимость производства сельскохозяйственной продукции i, которая поддерживаются мелкомасштабным производителем продовольствия j в течение года t.; </w:t>
      </w:r>
    </w:p>
    <w:p w:rsidR="00D543E7" w:rsidRPr="002724C2" w:rsidRDefault="00D543E7" w:rsidP="00D543E7">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r>
          <m:rPr>
            <m:sty m:val="p"/>
          </m:rPr>
          <w:rPr>
            <w:rFonts w:ascii="Cambria Math" w:hAnsi="Cambria Math" w:cs="Times New Roman"/>
            <w:sz w:val="24"/>
            <w:szCs w:val="24"/>
            <w:lang w:val="ru-RU"/>
          </w:rPr>
          <m:t xml:space="preserve">n </m:t>
        </m:r>
      </m:oMath>
      <w:r w:rsidRPr="002724C2">
        <w:rPr>
          <w:rFonts w:ascii="Times New Roman" w:hAnsi="Times New Roman" w:cs="Times New Roman"/>
          <w:sz w:val="24"/>
          <w:szCs w:val="24"/>
          <w:lang w:val="ru-RU"/>
        </w:rPr>
        <w:t>число мелких производителей продовольствия.</w:t>
      </w:r>
    </w:p>
    <w:p w:rsidR="00D543E7" w:rsidRPr="002724C2" w:rsidRDefault="00D543E7" w:rsidP="00D543E7">
      <w:pPr>
        <w:spacing w:before="100" w:beforeAutospacing="1" w:after="100" w:afterAutospacing="1"/>
        <w:jc w:val="both"/>
        <w:rPr>
          <w:rFonts w:ascii="Times New Roman" w:eastAsiaTheme="minorEastAsia" w:hAnsi="Times New Roman" w:cs="Times New Roman"/>
          <w:sz w:val="24"/>
          <w:szCs w:val="24"/>
          <w:lang w:val="ru-RU"/>
        </w:rPr>
      </w:pPr>
      <w:r w:rsidRPr="002724C2">
        <w:rPr>
          <w:rFonts w:ascii="Times New Roman" w:hAnsi="Times New Roman" w:cs="Times New Roman"/>
          <w:sz w:val="24"/>
          <w:szCs w:val="24"/>
          <w:lang w:val="ru-RU"/>
        </w:rPr>
        <w:t xml:space="preserve">В деталях, выводятся физические объемы </w:t>
      </w: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ru-RU"/>
              </w:rPr>
              <m:t>V</m:t>
            </m:r>
          </m:e>
          <m:sub>
            <m:r>
              <w:rPr>
                <w:rFonts w:ascii="Cambria Math" w:hAnsi="Cambria Math" w:cs="Times New Roman"/>
                <w:sz w:val="24"/>
                <w:szCs w:val="24"/>
                <w:lang w:val="ru-RU"/>
              </w:rPr>
              <m:t>ij</m:t>
            </m:r>
          </m:sub>
          <m:sup>
            <m:r>
              <w:rPr>
                <w:rFonts w:ascii="Cambria Math" w:hAnsi="Cambria Math" w:cs="Times New Roman"/>
                <w:sz w:val="24"/>
                <w:szCs w:val="24"/>
                <w:lang w:val="ru-RU"/>
              </w:rPr>
              <m:t>t</m:t>
            </m:r>
          </m:sup>
        </m:sSubSup>
      </m:oMath>
      <w:r w:rsidRPr="002724C2">
        <w:rPr>
          <w:rFonts w:ascii="Times New Roman" w:eastAsiaTheme="minorEastAsia" w:hAnsi="Times New Roman" w:cs="Times New Roman"/>
          <w:sz w:val="24"/>
          <w:szCs w:val="24"/>
          <w:lang w:val="ru-RU"/>
        </w:rPr>
        <w:t>для каждого производителя k, из следующих пунктов:</w:t>
      </w:r>
    </w:p>
    <w:p w:rsidR="00D543E7" w:rsidRPr="002724C2" w:rsidRDefault="00D543E7" w:rsidP="00D543E7">
      <w:pPr>
        <w:pStyle w:val="ListParagraph"/>
        <w:numPr>
          <w:ilvl w:val="0"/>
          <w:numId w:val="11"/>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b/>
          <w:sz w:val="24"/>
          <w:szCs w:val="24"/>
          <w:lang w:val="ru-RU"/>
        </w:rPr>
        <w:t>Доходы от сельскохозяйственных культур</w:t>
      </w:r>
      <w:r w:rsidRPr="002724C2">
        <w:rPr>
          <w:rFonts w:ascii="Times New Roman" w:hAnsi="Times New Roman" w:cs="Times New Roman"/>
          <w:sz w:val="24"/>
          <w:szCs w:val="24"/>
          <w:lang w:val="ru-RU"/>
        </w:rPr>
        <w:t xml:space="preserve">: проданный урожай, урожай для собственного потребления, урожай, использованный в качестве корма, урожай, сохраненный для семян, хранящийся урожай, урожай, использованный в качестве побочных продуктов, урожай, предоставленный в качестве подарка, урожай, </w:t>
      </w:r>
      <w:r w:rsidRPr="002724C2">
        <w:rPr>
          <w:rFonts w:ascii="Times New Roman" w:hAnsi="Times New Roman" w:cs="Times New Roman"/>
          <w:sz w:val="24"/>
          <w:szCs w:val="24"/>
          <w:lang w:val="ru-RU"/>
        </w:rPr>
        <w:lastRenderedPageBreak/>
        <w:t>использованный для оплаты труда, урожай, использованный для оплаты аренды, использованный урожай для оплаты ресурсов, урожай выданный по соглашению о разделе акций, урожай потраченный впустую. Аналогичные критерии применяются для расчета доходов от древесных культур и лесной продукции.</w:t>
      </w:r>
    </w:p>
    <w:p w:rsidR="00D543E7" w:rsidRPr="002724C2" w:rsidRDefault="00D543E7" w:rsidP="00D543E7">
      <w:pPr>
        <w:pStyle w:val="ListParagraph"/>
        <w:numPr>
          <w:ilvl w:val="0"/>
          <w:numId w:val="11"/>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b/>
          <w:sz w:val="24"/>
          <w:szCs w:val="24"/>
          <w:lang w:val="ru-RU"/>
        </w:rPr>
        <w:t>Доходы от животноводства</w:t>
      </w:r>
      <w:r w:rsidRPr="002724C2">
        <w:rPr>
          <w:rFonts w:ascii="Times New Roman" w:hAnsi="Times New Roman" w:cs="Times New Roman"/>
          <w:sz w:val="24"/>
          <w:szCs w:val="24"/>
          <w:lang w:val="ru-RU"/>
        </w:rPr>
        <w:t xml:space="preserve">: проданный (живой) скот, скот в качестве подарка (компонент может быть сохранен только в том случае, если возможно изменение запаса), побочные продукты животноводства/проданные побочные продукты, продукты животноводства, потребляемые самостоятельно, продукты животноводства, используемые самостоятельно (также затраты на урожай (например, навоз, используемый в качестве удобрения), побочные продукты животноводства / побочные продукты, используемые, чтобы расплачиваться, побочные продукты животноводства / продукты для оплаты кредитов. </w:t>
      </w:r>
    </w:p>
    <w:p w:rsidR="00D543E7" w:rsidRPr="002724C2" w:rsidRDefault="00D543E7" w:rsidP="00D543E7">
      <w:pPr>
        <w:pStyle w:val="ListParagraph"/>
        <w:numPr>
          <w:ilvl w:val="0"/>
          <w:numId w:val="11"/>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b/>
          <w:sz w:val="24"/>
          <w:szCs w:val="24"/>
          <w:lang w:val="ru-RU"/>
        </w:rPr>
        <w:t>Доходы от лесного хозяйства</w:t>
      </w:r>
      <w:r w:rsidRPr="002724C2">
        <w:rPr>
          <w:rFonts w:ascii="Times New Roman" w:hAnsi="Times New Roman" w:cs="Times New Roman"/>
          <w:sz w:val="24"/>
          <w:szCs w:val="24"/>
          <w:lang w:val="ru-RU"/>
        </w:rPr>
        <w:t>: проданная продукция, лесная продукция для собственного потребления, лесная продукция на хранении, лесная продукция, используемая для оплаты труда, лесная продукция, используемая для оплаты аренды, лесная продукция, используемая для оплаты ресурсов, лесная продукция, выданная по соглашению о разделе продукции, лесная продукция потраченная впустую.</w:t>
      </w:r>
    </w:p>
    <w:p w:rsidR="00D543E7" w:rsidRPr="002724C2" w:rsidRDefault="00D543E7" w:rsidP="00D543E7">
      <w:pPr>
        <w:pStyle w:val="ListParagraph"/>
        <w:numPr>
          <w:ilvl w:val="0"/>
          <w:numId w:val="11"/>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Д</w:t>
      </w:r>
      <w:r w:rsidRPr="002724C2">
        <w:rPr>
          <w:rFonts w:ascii="Times New Roman" w:hAnsi="Times New Roman" w:cs="Times New Roman"/>
          <w:b/>
          <w:sz w:val="24"/>
          <w:szCs w:val="24"/>
          <w:lang w:val="ru-RU"/>
        </w:rPr>
        <w:t>оходы от рыболовства</w:t>
      </w:r>
      <w:r w:rsidRPr="002724C2">
        <w:rPr>
          <w:rFonts w:ascii="Times New Roman" w:hAnsi="Times New Roman" w:cs="Times New Roman"/>
          <w:sz w:val="24"/>
          <w:szCs w:val="24"/>
          <w:lang w:val="ru-RU"/>
        </w:rPr>
        <w:t>: проданная пойманная свежая рыба, проданная пойманная обработанная рыба, пойманная свежая рыба для собственного потребления, пойманная обработанная рыба для собственного потребления, проданная свежая рыба, проданная обработанная рыба.</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Производственные затраты </w:t>
      </w: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ru-RU"/>
              </w:rPr>
              <m:t>C</m:t>
            </m:r>
          </m:e>
          <m:sub>
            <m:r>
              <w:rPr>
                <w:rFonts w:ascii="Cambria Math" w:hAnsi="Cambria Math" w:cs="Times New Roman"/>
                <w:sz w:val="24"/>
                <w:szCs w:val="24"/>
                <w:lang w:val="ru-RU"/>
              </w:rPr>
              <m:t>ij</m:t>
            </m:r>
          </m:sub>
          <m:sup>
            <m: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должны включать эксплуатационные расходы. Они включают в себя все переменные издержки (платежи наличными и виды сельскохозяйственных ресурсов в виде удобрений, семян и случайной рабочей силы) и постоянные издержки (наемный труд, арендная плата за землю и расходы на техническую помощь).</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Более подробно, затраты </w:t>
      </w: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ru-RU"/>
              </w:rPr>
              <m:t>C</m:t>
            </m:r>
          </m:e>
          <m:sub>
            <m:r>
              <w:rPr>
                <w:rFonts w:ascii="Cambria Math" w:hAnsi="Cambria Math" w:cs="Times New Roman"/>
                <w:sz w:val="24"/>
                <w:szCs w:val="24"/>
                <w:lang w:val="ru-RU"/>
              </w:rPr>
              <m:t>ij</m:t>
            </m:r>
          </m:sub>
          <m:sup>
            <m: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обычно включают в себя следующие пункты:</w:t>
      </w:r>
    </w:p>
    <w:p w:rsidR="00D543E7" w:rsidRPr="002724C2" w:rsidRDefault="00D543E7" w:rsidP="00D543E7">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Расходы на растениеводство: вклад наличными, аренда земли, техническое содействия/расширение расходов, урожай, оставленный для посева, урожай, используемый для оплаты труда, урожай, используемый для оплаты аренды, урожай, использованный для оплаты ресурсов, урожай, выданный по соглашению о разделе продукции (вывоз доли), урожай, потраченный впустую, урожай, использованный для производства побочных продуктов, общая стоимость закупленных ресурсов, включая возмещенные в натуральной форме </w:t>
      </w:r>
    </w:p>
    <w:p w:rsidR="00D543E7" w:rsidRPr="002724C2" w:rsidRDefault="00D543E7" w:rsidP="00D543E7">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Расходы на животноводство: купленный скот, дополнительные расходы на животноводство, урожай, используемый в качестве корма, затраты на техническую помощь/расширение поголовья скота.</w:t>
      </w:r>
    </w:p>
    <w:p w:rsidR="00D543E7" w:rsidRPr="002724C2" w:rsidRDefault="00D543E7" w:rsidP="00D543E7">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Расходы по лесохозяйственной деятельности: затраты на производство (саженцы, удобрения, наемный труд и т. д.), расходы на аренду машин и оборудования, расходы на аренду земли, другие связанные с этим расходы.</w:t>
      </w:r>
    </w:p>
    <w:p w:rsidR="00D543E7" w:rsidRPr="002724C2" w:rsidRDefault="00D543E7" w:rsidP="00D543E7">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lastRenderedPageBreak/>
        <w:t>Расходы на рыболовство и аквакультуру: расходы на орудия лова, расходы на наемный труд, торговую деятельность, закупки свежей рыбы, закупки переработанной рыбы, другие связанные с этим расходы.</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Для получения сопоставимых результатов по странам в случае дохода значения должны обязательно выражаться в международных долларах по паритету покупательной способности (ППС $) на основе пересчета, предусмотренного проектом Международного сопоставления Всемирного банка.</w:t>
      </w:r>
    </w:p>
    <w:p w:rsidR="00D543E7" w:rsidRDefault="00D543E7" w:rsidP="00D543E7">
      <w:pPr>
        <w:tabs>
          <w:tab w:val="left" w:pos="2552"/>
        </w:tabs>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tabs>
          <w:tab w:val="left" w:pos="2552"/>
        </w:tabs>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Дезагрегация:</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Показатель 2.3.2 должен быть дезагрегирован по классам фермерских/пастбищных/лесхозов. Общая целевая задача ЦУР 2.3 требует особого внимания к женщинам, коренным народам, семейным фермерам, скотоводам и рыболовам. По этой причине показатель должен быть дезагрегирован по полу, типу предприятия и принадлежности к общине.</w:t>
      </w:r>
    </w:p>
    <w:p w:rsidR="00D543E7" w:rsidRDefault="00D543E7" w:rsidP="00D543E7">
      <w:pPr>
        <w:spacing w:before="100" w:beforeAutospacing="1" w:after="100" w:afterAutospacing="1"/>
        <w:jc w:val="both"/>
        <w:rPr>
          <w:rFonts w:ascii="Times New Roman" w:hAnsi="Times New Roman" w:cs="Times New Roman"/>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 xml:space="preserve">Обработка пропущенных значений: </w:t>
      </w:r>
    </w:p>
    <w:p w:rsidR="00D543E7" w:rsidRPr="002724C2" w:rsidRDefault="00D543E7" w:rsidP="00D543E7">
      <w:pPr>
        <w:pStyle w:val="ListParagraph"/>
        <w:numPr>
          <w:ilvl w:val="0"/>
          <w:numId w:val="13"/>
        </w:numPr>
        <w:spacing w:before="100" w:beforeAutospacing="1" w:after="100" w:afterAutospacing="1"/>
        <w:jc w:val="both"/>
        <w:rPr>
          <w:rFonts w:ascii="Times New Roman" w:hAnsi="Times New Roman" w:cs="Times New Roman"/>
          <w:b/>
          <w:color w:val="0070C0"/>
          <w:sz w:val="24"/>
          <w:szCs w:val="24"/>
          <w:lang w:val="ru-RU"/>
        </w:rPr>
      </w:pPr>
      <w:r w:rsidRPr="002724C2">
        <w:rPr>
          <w:rFonts w:ascii="Times New Roman" w:hAnsi="Times New Roman" w:cs="Times New Roman"/>
          <w:b/>
          <w:color w:val="0070C0"/>
          <w:sz w:val="24"/>
          <w:szCs w:val="24"/>
          <w:lang w:val="ru-RU"/>
        </w:rPr>
        <w:t>На уровне страны</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Pr="002724C2">
        <w:rPr>
          <w:rFonts w:ascii="Times New Roman" w:hAnsi="Times New Roman" w:cs="Times New Roman"/>
          <w:sz w:val="24"/>
          <w:szCs w:val="24"/>
          <w:lang w:val="ru-RU"/>
        </w:rPr>
        <w:t>удет определено позже</w:t>
      </w:r>
      <w:r>
        <w:rPr>
          <w:rFonts w:ascii="Times New Roman" w:hAnsi="Times New Roman" w:cs="Times New Roman"/>
          <w:sz w:val="24"/>
          <w:szCs w:val="24"/>
          <w:lang w:val="ru-RU"/>
        </w:rPr>
        <w:t>.</w:t>
      </w:r>
    </w:p>
    <w:p w:rsidR="00D543E7" w:rsidRPr="002724C2" w:rsidRDefault="00D543E7" w:rsidP="00D543E7">
      <w:pPr>
        <w:pStyle w:val="ListParagraph"/>
        <w:numPr>
          <w:ilvl w:val="0"/>
          <w:numId w:val="13"/>
        </w:numPr>
        <w:spacing w:before="100" w:beforeAutospacing="1" w:after="100" w:afterAutospacing="1"/>
        <w:jc w:val="both"/>
        <w:rPr>
          <w:rFonts w:ascii="Times New Roman" w:hAnsi="Times New Roman" w:cs="Times New Roman"/>
          <w:b/>
          <w:color w:val="0070C0"/>
          <w:sz w:val="24"/>
          <w:szCs w:val="24"/>
          <w:lang w:val="ru-RU"/>
        </w:rPr>
      </w:pPr>
      <w:r w:rsidRPr="002724C2">
        <w:rPr>
          <w:rFonts w:ascii="Times New Roman" w:hAnsi="Times New Roman" w:cs="Times New Roman"/>
          <w:b/>
          <w:color w:val="0070C0"/>
          <w:sz w:val="24"/>
          <w:szCs w:val="24"/>
          <w:lang w:val="ru-RU"/>
        </w:rPr>
        <w:t>На рег</w:t>
      </w:r>
      <w:r>
        <w:rPr>
          <w:rFonts w:ascii="Times New Roman" w:hAnsi="Times New Roman" w:cs="Times New Roman"/>
          <w:b/>
          <w:color w:val="0070C0"/>
          <w:sz w:val="24"/>
          <w:szCs w:val="24"/>
          <w:lang w:val="ru-RU"/>
        </w:rPr>
        <w:t>иональном и глобальном уровнях</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Будет определено позже.</w:t>
      </w:r>
    </w:p>
    <w:p w:rsid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 xml:space="preserve">Региональные показатели: </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Пока не применимо.</w:t>
      </w:r>
    </w:p>
    <w:p w:rsidR="00D543E7" w:rsidRDefault="00D543E7" w:rsidP="00D543E7">
      <w:pPr>
        <w:spacing w:before="100" w:beforeAutospacing="1" w:after="100" w:afterAutospacing="1"/>
        <w:jc w:val="both"/>
        <w:rPr>
          <w:rFonts w:ascii="Times New Roman" w:hAnsi="Times New Roman" w:cs="Times New Roman"/>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 xml:space="preserve">Источники расхождений: </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Пока не применимо.</w:t>
      </w:r>
    </w:p>
    <w:p w:rsidR="00D543E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lastRenderedPageBreak/>
        <w:t>Методы и руководства, доступные странам для сбора данных на национальном уровне:</w:t>
      </w:r>
    </w:p>
    <w:p w:rsidR="00D543E7"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Информация в данный момент недоступна.</w:t>
      </w: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 xml:space="preserve">Гарантия качества </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Информация в данный момент недоступна.</w:t>
      </w:r>
    </w:p>
    <w:p w:rsidR="00D543E7" w:rsidRPr="00B27A0B"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sidRPr="001F1047">
        <w:rPr>
          <w:rFonts w:ascii="Times New Roman" w:hAnsi="Times New Roman" w:cs="Times New Roman"/>
          <w:b/>
          <w:color w:val="0070C0"/>
          <w:sz w:val="24"/>
          <w:szCs w:val="24"/>
          <w:lang w:val="ru-RU"/>
        </w:rPr>
        <w:t xml:space="preserve">Источники данных </w:t>
      </w:r>
    </w:p>
    <w:p w:rsidR="00D543E7" w:rsidRPr="001F104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2724C2" w:rsidRDefault="00D543E7" w:rsidP="00D543E7">
      <w:pPr>
        <w:tabs>
          <w:tab w:val="left" w:pos="2552"/>
          <w:tab w:val="left" w:pos="4253"/>
        </w:tabs>
        <w:spacing w:before="100" w:beforeAutospacing="1" w:after="100" w:afterAutospacing="1"/>
        <w:jc w:val="both"/>
        <w:rPr>
          <w:rFonts w:ascii="Times New Roman" w:hAnsi="Times New Roman" w:cs="Times New Roman"/>
          <w:b/>
          <w:sz w:val="24"/>
          <w:szCs w:val="24"/>
          <w:lang w:val="ru-RU"/>
        </w:rPr>
      </w:pPr>
      <w:r w:rsidRPr="002724C2">
        <w:rPr>
          <w:rFonts w:ascii="Times New Roman" w:hAnsi="Times New Roman" w:cs="Times New Roman"/>
          <w:b/>
          <w:sz w:val="24"/>
          <w:szCs w:val="24"/>
          <w:lang w:val="ru-RU"/>
        </w:rPr>
        <w:t>Источники и сбор данных</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Учитывая, что показатель 2.3.2 измеряется на целевой совокупности производителей - те, которые считаются маломасштабными - идеальным источником данных для их измерения является единый опрос, который собирает всю информацию, требуемую для отдельных производственных единиц. Наиболее подходящим источником данных для сбора информации о сельскохозяйственном производстве и связанных с ним расходах являются сельскохозяйственные обследования. Другие возможности, которые необходимо изучить при отсутствии сельскохозяйственных обследований, следующие: </w:t>
      </w:r>
    </w:p>
    <w:p w:rsidR="00D543E7" w:rsidRPr="002724C2" w:rsidRDefault="00D543E7" w:rsidP="00D543E7">
      <w:pPr>
        <w:pStyle w:val="ListParagraph"/>
        <w:numPr>
          <w:ilvl w:val="0"/>
          <w:numId w:val="15"/>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обследования домашних хозяйств, интегрированные с сельскохозяйственным модулем, </w:t>
      </w:r>
    </w:p>
    <w:p w:rsidR="00D543E7" w:rsidRPr="002724C2" w:rsidRDefault="00D543E7" w:rsidP="00D543E7">
      <w:pPr>
        <w:pStyle w:val="ListParagraph"/>
        <w:numPr>
          <w:ilvl w:val="0"/>
          <w:numId w:val="15"/>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 xml:space="preserve">сельскохозяйственные переписи, </w:t>
      </w:r>
    </w:p>
    <w:p w:rsidR="00D543E7" w:rsidRPr="002724C2" w:rsidRDefault="00D543E7" w:rsidP="00D543E7">
      <w:pPr>
        <w:pStyle w:val="ListParagraph"/>
        <w:numPr>
          <w:ilvl w:val="0"/>
          <w:numId w:val="15"/>
        </w:num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административные данные.</w:t>
      </w:r>
    </w:p>
    <w:p w:rsidR="00D543E7" w:rsidRDefault="00D543E7" w:rsidP="00D543E7">
      <w:pPr>
        <w:spacing w:before="100" w:beforeAutospacing="1" w:after="100" w:afterAutospacing="1"/>
        <w:jc w:val="both"/>
        <w:rPr>
          <w:rFonts w:ascii="Times New Roman" w:hAnsi="Times New Roman" w:cs="Times New Roman"/>
          <w:b/>
          <w:sz w:val="24"/>
          <w:szCs w:val="24"/>
        </w:rPr>
      </w:pPr>
    </w:p>
    <w:p w:rsidR="00D543E7" w:rsidRPr="001F1047"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 xml:space="preserve">Доступность данных </w:t>
      </w:r>
    </w:p>
    <w:p w:rsidR="00D543E7" w:rsidRPr="002724C2" w:rsidRDefault="00D543E7" w:rsidP="00D543E7">
      <w:pPr>
        <w:tabs>
          <w:tab w:val="left" w:pos="2552"/>
          <w:tab w:val="left" w:pos="4253"/>
        </w:tabs>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color w:val="000000"/>
          <w:sz w:val="24"/>
          <w:szCs w:val="24"/>
          <w:lang w:val="ru-RU"/>
        </w:rPr>
      </w:pPr>
      <w:r w:rsidRPr="002724C2">
        <w:rPr>
          <w:rFonts w:ascii="Times New Roman" w:hAnsi="Times New Roman" w:cs="Times New Roman"/>
          <w:sz w:val="24"/>
          <w:szCs w:val="24"/>
          <w:lang w:val="ru-RU"/>
        </w:rPr>
        <w:t>Данные по-прежнему отсутствуют на систематической и согласованной основе. Некоторые данные представлены из доступных подходящих обследований в отдельных странах</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Ниже приводится разбивка по странам с разбивкой по регионам:</w:t>
      </w:r>
    </w:p>
    <w:tbl>
      <w:tblPr>
        <w:tblW w:w="977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842"/>
        <w:gridCol w:w="2268"/>
      </w:tblGrid>
      <w:tr w:rsidR="00D543E7" w:rsidRPr="002724C2" w:rsidTr="00B87F9E">
        <w:trPr>
          <w:trHeight w:val="300"/>
        </w:trPr>
        <w:tc>
          <w:tcPr>
            <w:tcW w:w="5664"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c>
          <w:tcPr>
            <w:tcW w:w="1842"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Число стран</w:t>
            </w:r>
          </w:p>
        </w:tc>
        <w:tc>
          <w:tcPr>
            <w:tcW w:w="2268"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Характер данных</w:t>
            </w:r>
          </w:p>
        </w:tc>
      </w:tr>
      <w:tr w:rsidR="00D543E7" w:rsidRPr="002724C2" w:rsidTr="00B87F9E">
        <w:trPr>
          <w:trHeight w:val="300"/>
        </w:trPr>
        <w:tc>
          <w:tcPr>
            <w:tcW w:w="5664"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lastRenderedPageBreak/>
              <w:t>Мир</w:t>
            </w:r>
          </w:p>
        </w:tc>
        <w:tc>
          <w:tcPr>
            <w:tcW w:w="1842"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36</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15</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Северная 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1F1047"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Страны Африки к Югу от Сахары</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Восточная 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it-IT"/>
              </w:rPr>
            </w:pPr>
            <w:r w:rsidRPr="002724C2">
              <w:rPr>
                <w:rFonts w:ascii="Times New Roman" w:eastAsia="Times New Roman" w:hAnsi="Times New Roman" w:cs="Times New Roman"/>
                <w:b/>
                <w:bCs/>
                <w:color w:val="000000"/>
                <w:sz w:val="24"/>
                <w:szCs w:val="24"/>
                <w:lang w:val="it-IT"/>
              </w:rPr>
              <w:t>5</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it-IT"/>
              </w:rPr>
            </w:pPr>
            <w:r w:rsidRPr="002724C2">
              <w:rPr>
                <w:rFonts w:ascii="Times New Roman" w:eastAsia="Times New Roman" w:hAnsi="Times New Roman" w:cs="Times New Roman"/>
                <w:b/>
                <w:bCs/>
                <w:color w:val="000000"/>
                <w:sz w:val="24"/>
                <w:szCs w:val="24"/>
                <w:lang w:val="it-IT"/>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Средняя 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lang w:val="ru-RU"/>
              </w:rPr>
            </w:pPr>
            <w:r w:rsidRPr="002724C2">
              <w:rPr>
                <w:rFonts w:ascii="Times New Roman" w:eastAsia="Times New Roman" w:hAnsi="Times New Roman" w:cs="Times New Roman"/>
                <w:b/>
                <w:bCs/>
                <w:color w:val="000000"/>
                <w:sz w:val="24"/>
                <w:szCs w:val="24"/>
                <w:lang w:val="ru-RU"/>
              </w:rPr>
              <w:t>Южная 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Западная Африка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it-IT"/>
              </w:rPr>
            </w:pPr>
            <w:r w:rsidRPr="002724C2">
              <w:rPr>
                <w:rFonts w:ascii="Times New Roman" w:eastAsia="Times New Roman" w:hAnsi="Times New Roman" w:cs="Times New Roman"/>
                <w:b/>
                <w:bCs/>
                <w:color w:val="000000"/>
                <w:sz w:val="24"/>
                <w:szCs w:val="24"/>
                <w:lang w:val="it-IT"/>
              </w:rPr>
              <w:t>8</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it-IT"/>
              </w:rPr>
            </w:pPr>
            <w:r w:rsidRPr="002724C2">
              <w:rPr>
                <w:rFonts w:ascii="Times New Roman" w:eastAsia="Times New Roman" w:hAnsi="Times New Roman" w:cs="Times New Roman"/>
                <w:b/>
                <w:bCs/>
                <w:color w:val="000000"/>
                <w:sz w:val="24"/>
                <w:szCs w:val="24"/>
                <w:lang w:val="it-IT"/>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Америка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7</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1F1047"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Латинская Америка и Карибский бассейн</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lang w:val="ru-RU"/>
              </w:rPr>
            </w:pPr>
            <w:r w:rsidRPr="002724C2">
              <w:rPr>
                <w:rFonts w:ascii="Times New Roman" w:eastAsia="Times New Roman" w:hAnsi="Times New Roman" w:cs="Times New Roman"/>
                <w:b/>
                <w:bCs/>
                <w:color w:val="000000"/>
                <w:sz w:val="24"/>
                <w:szCs w:val="24"/>
                <w:lang w:val="ru-RU"/>
              </w:rPr>
              <w:t>Карибский</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Латинская Америка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es-ES"/>
              </w:rPr>
            </w:pPr>
            <w:r w:rsidRPr="002724C2">
              <w:rPr>
                <w:rFonts w:ascii="Times New Roman" w:eastAsia="Times New Roman" w:hAnsi="Times New Roman" w:cs="Times New Roman"/>
                <w:b/>
                <w:bCs/>
                <w:color w:val="000000"/>
                <w:sz w:val="24"/>
                <w:szCs w:val="24"/>
                <w:lang w:val="es-ES"/>
              </w:rPr>
              <w:t>3</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es-ES"/>
              </w:rPr>
            </w:pPr>
            <w:r w:rsidRPr="002724C2">
              <w:rPr>
                <w:rFonts w:ascii="Times New Roman" w:eastAsia="Times New Roman" w:hAnsi="Times New Roman" w:cs="Times New Roman"/>
                <w:b/>
                <w:bCs/>
                <w:color w:val="000000"/>
                <w:sz w:val="24"/>
                <w:szCs w:val="24"/>
                <w:lang w:val="es-ES"/>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Северная Америка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es-ES"/>
              </w:rPr>
            </w:pPr>
            <w:r w:rsidRPr="002724C2">
              <w:rPr>
                <w:rFonts w:ascii="Times New Roman" w:eastAsia="Times New Roman" w:hAnsi="Times New Roman" w:cs="Times New Roman"/>
                <w:b/>
                <w:bCs/>
                <w:color w:val="000000"/>
                <w:sz w:val="24"/>
                <w:szCs w:val="24"/>
                <w:lang w:val="es-ES"/>
              </w:rPr>
              <w:t>4</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lang w:val="es-ES"/>
              </w:rPr>
            </w:pPr>
            <w:r w:rsidRPr="002724C2">
              <w:rPr>
                <w:rFonts w:ascii="Times New Roman" w:eastAsia="Times New Roman" w:hAnsi="Times New Roman" w:cs="Times New Roman"/>
                <w:b/>
                <w:bCs/>
                <w:color w:val="000000"/>
                <w:sz w:val="24"/>
                <w:szCs w:val="24"/>
                <w:lang w:val="es-ES"/>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9</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lang w:val="ru-RU"/>
              </w:rPr>
              <w:t>Ц</w:t>
            </w:r>
            <w:r w:rsidRPr="002724C2">
              <w:rPr>
                <w:rFonts w:ascii="Times New Roman" w:eastAsia="Times New Roman" w:hAnsi="Times New Roman" w:cs="Times New Roman"/>
                <w:b/>
                <w:bCs/>
                <w:color w:val="000000"/>
                <w:sz w:val="24"/>
                <w:szCs w:val="24"/>
              </w:rPr>
              <w:t>ентральная 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Восточная 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Южная 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4</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Юго-Восточная 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2</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Западная Азия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1</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Европа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5</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Восточная Европа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5</w:t>
            </w: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r w:rsidRPr="002724C2">
              <w:rPr>
                <w:rFonts w:ascii="Times New Roman" w:eastAsia="Times New Roman" w:hAnsi="Times New Roman" w:cs="Times New Roman"/>
                <w:b/>
                <w:bCs/>
                <w:color w:val="000000"/>
                <w:sz w:val="24"/>
                <w:szCs w:val="24"/>
              </w:rPr>
              <w:t>E</w:t>
            </w: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Северная Европа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Южная Европа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Западная Европа</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sidRPr="002724C2">
              <w:rPr>
                <w:rFonts w:ascii="Times New Roman" w:eastAsia="Times New Roman" w:hAnsi="Times New Roman" w:cs="Times New Roman"/>
                <w:b/>
                <w:bCs/>
                <w:color w:val="000000"/>
                <w:sz w:val="24"/>
                <w:szCs w:val="24"/>
                <w:lang w:val="ru-RU"/>
              </w:rPr>
              <w:t>Океания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Австралия и Новая Зеландия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Меланезия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Микронезия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D543E7" w:rsidRPr="002724C2" w:rsidTr="00B87F9E">
        <w:trPr>
          <w:trHeight w:val="300"/>
        </w:trPr>
        <w:tc>
          <w:tcPr>
            <w:tcW w:w="5664" w:type="dxa"/>
            <w:shd w:val="clear" w:color="auto" w:fill="auto"/>
            <w:noWrap/>
            <w:vAlign w:val="bottom"/>
            <w:hideMark/>
          </w:tcPr>
          <w:p w:rsidR="00D543E7" w:rsidRPr="002724C2" w:rsidRDefault="00D543E7"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sidRPr="002724C2">
              <w:rPr>
                <w:rFonts w:ascii="Times New Roman" w:eastAsia="Times New Roman" w:hAnsi="Times New Roman" w:cs="Times New Roman"/>
                <w:b/>
                <w:bCs/>
                <w:color w:val="000000"/>
                <w:sz w:val="24"/>
                <w:szCs w:val="24"/>
              </w:rPr>
              <w:t>Полинезия</w:t>
            </w:r>
          </w:p>
        </w:tc>
        <w:tc>
          <w:tcPr>
            <w:tcW w:w="1842" w:type="dxa"/>
            <w:shd w:val="clear" w:color="auto" w:fill="auto"/>
            <w:noWrap/>
            <w:vAlign w:val="bottom"/>
            <w:hideMark/>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268" w:type="dxa"/>
            <w:shd w:val="clear" w:color="auto" w:fill="auto"/>
            <w:noWrap/>
            <w:vAlign w:val="bottom"/>
          </w:tcPr>
          <w:p w:rsidR="00D543E7" w:rsidRPr="002724C2" w:rsidRDefault="00D543E7" w:rsidP="00B87F9E">
            <w:pPr>
              <w:spacing w:before="100" w:beforeAutospacing="1" w:after="100" w:afterAutospacing="1"/>
              <w:jc w:val="both"/>
              <w:rPr>
                <w:rFonts w:ascii="Times New Roman" w:eastAsia="Times New Roman" w:hAnsi="Times New Roman" w:cs="Times New Roman"/>
                <w:b/>
                <w:bCs/>
                <w:color w:val="000000"/>
                <w:sz w:val="24"/>
                <w:szCs w:val="24"/>
              </w:rPr>
            </w:pPr>
          </w:p>
        </w:tc>
      </w:tr>
    </w:tbl>
    <w:p w:rsidR="00D543E7" w:rsidRPr="002724C2" w:rsidRDefault="00D543E7" w:rsidP="00D543E7">
      <w:pPr>
        <w:pStyle w:val="BodyText"/>
        <w:spacing w:before="100" w:beforeAutospacing="1" w:after="100" w:afterAutospacing="1" w:line="276" w:lineRule="auto"/>
        <w:ind w:left="0"/>
        <w:jc w:val="both"/>
        <w:rPr>
          <w:rFonts w:ascii="Times New Roman" w:hAnsi="Times New Roman" w:cs="Times New Roman"/>
          <w:color w:val="000000"/>
          <w:sz w:val="24"/>
          <w:szCs w:val="24"/>
          <w:lang w:val="ru-RU"/>
        </w:rPr>
      </w:pPr>
    </w:p>
    <w:p w:rsidR="00D543E7" w:rsidRPr="002724C2" w:rsidRDefault="00D543E7" w:rsidP="00D543E7">
      <w:pPr>
        <w:pStyle w:val="BodyText"/>
        <w:spacing w:before="100" w:beforeAutospacing="1" w:after="100" w:afterAutospacing="1" w:line="276" w:lineRule="auto"/>
        <w:ind w:left="0"/>
        <w:jc w:val="both"/>
        <w:rPr>
          <w:rFonts w:ascii="Times New Roman" w:hAnsi="Times New Roman" w:cs="Times New Roman"/>
          <w:b/>
          <w:color w:val="000000"/>
          <w:sz w:val="24"/>
          <w:szCs w:val="24"/>
          <w:lang w:val="ru-RU"/>
        </w:rPr>
      </w:pPr>
      <w:r w:rsidRPr="002724C2">
        <w:rPr>
          <w:rFonts w:ascii="Times New Roman" w:hAnsi="Times New Roman" w:cs="Times New Roman"/>
          <w:b/>
          <w:color w:val="000000"/>
          <w:sz w:val="24"/>
          <w:szCs w:val="24"/>
          <w:lang w:val="ru-RU"/>
        </w:rPr>
        <w:t>Временные ряды:</w:t>
      </w:r>
    </w:p>
    <w:p w:rsidR="00D543E7" w:rsidRPr="002724C2" w:rsidRDefault="00D543E7" w:rsidP="00D543E7">
      <w:pPr>
        <w:pStyle w:val="BodyText"/>
        <w:spacing w:before="100" w:beforeAutospacing="1" w:after="100" w:afterAutospacing="1" w:line="276" w:lineRule="auto"/>
        <w:ind w:left="0"/>
        <w:jc w:val="both"/>
        <w:rPr>
          <w:rFonts w:ascii="Times New Roman" w:hAnsi="Times New Roman" w:cs="Times New Roman"/>
          <w:color w:val="000000"/>
          <w:sz w:val="24"/>
          <w:szCs w:val="24"/>
          <w:lang w:val="ru-RU"/>
        </w:rPr>
      </w:pPr>
      <w:r w:rsidRPr="002724C2">
        <w:rPr>
          <w:rFonts w:ascii="Times New Roman" w:hAnsi="Times New Roman" w:cs="Times New Roman"/>
          <w:color w:val="000000"/>
          <w:sz w:val="24"/>
          <w:szCs w:val="24"/>
          <w:lang w:val="ru-RU"/>
        </w:rPr>
        <w:t>К 2030 году.</w:t>
      </w:r>
    </w:p>
    <w:p w:rsidR="00D543E7" w:rsidRDefault="00D543E7" w:rsidP="00D543E7">
      <w:pPr>
        <w:spacing w:before="100" w:beforeAutospacing="1" w:after="100" w:afterAutospacing="1"/>
        <w:jc w:val="both"/>
        <w:rPr>
          <w:rFonts w:ascii="Times New Roman" w:hAnsi="Times New Roman" w:cs="Times New Roman"/>
          <w:b/>
          <w:sz w:val="24"/>
          <w:szCs w:val="24"/>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sidRPr="001F1047">
        <w:rPr>
          <w:rFonts w:ascii="Times New Roman" w:hAnsi="Times New Roman" w:cs="Times New Roman"/>
          <w:b/>
          <w:color w:val="0070C0"/>
          <w:sz w:val="24"/>
          <w:szCs w:val="24"/>
          <w:lang w:val="ru-RU"/>
        </w:rPr>
        <w:t xml:space="preserve">Поставщики данных </w:t>
      </w:r>
    </w:p>
    <w:p w:rsidR="00D543E7" w:rsidRPr="00B27A0B"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tabs>
          <w:tab w:val="left" w:pos="2552"/>
          <w:tab w:val="left" w:pos="4253"/>
        </w:tabs>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lastRenderedPageBreak/>
        <w:t>Национальные статистические ведомства</w:t>
      </w:r>
    </w:p>
    <w:p w:rsidR="00D543E7" w:rsidRPr="001F1047"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Составители данных</w:t>
      </w:r>
    </w:p>
    <w:p w:rsidR="00D543E7" w:rsidRPr="00B27A0B"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tabs>
          <w:tab w:val="left" w:pos="2552"/>
          <w:tab w:val="left" w:pos="4253"/>
        </w:tabs>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ФАО ООН</w:t>
      </w:r>
    </w:p>
    <w:p w:rsidR="00D543E7" w:rsidRDefault="00D543E7" w:rsidP="00D543E7">
      <w:pPr>
        <w:spacing w:before="100" w:beforeAutospacing="1" w:after="100" w:afterAutospacing="1"/>
        <w:jc w:val="both"/>
        <w:rPr>
          <w:rFonts w:ascii="Times New Roman" w:hAnsi="Times New Roman" w:cs="Times New Roman"/>
          <w:b/>
          <w:sz w:val="24"/>
          <w:szCs w:val="24"/>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 xml:space="preserve">Ссылки </w:t>
      </w:r>
    </w:p>
    <w:p w:rsidR="00D543E7" w:rsidRDefault="00D543E7" w:rsidP="00D543E7">
      <w:pPr>
        <w:spacing w:before="100" w:beforeAutospacing="1" w:after="100" w:afterAutospacing="1"/>
        <w:jc w:val="both"/>
        <w:rPr>
          <w:rFonts w:ascii="Times New Roman" w:hAnsi="Times New Roman" w:cs="Times New Roman"/>
          <w:b/>
          <w:color w:val="0070C0"/>
          <w:sz w:val="24"/>
          <w:szCs w:val="24"/>
          <w:lang w:val="ru-RU"/>
        </w:rPr>
      </w:pP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Примечание по «Предлагаемой методологии для выработки и мониторинга показателей целей устойчивого развития 2.3.1 и 2.3.2», Канцелярии Главного статистического управления и Статистического отдела, ФАО, Рим</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r w:rsidRPr="002724C2">
        <w:rPr>
          <w:rFonts w:ascii="Times New Roman" w:hAnsi="Times New Roman" w:cs="Times New Roman"/>
          <w:sz w:val="24"/>
          <w:szCs w:val="24"/>
          <w:lang w:val="ru-RU"/>
        </w:rPr>
        <w:t>Определение производителей мелкомасштабной продовольственной продукции для мониторинга задачи 2.3 Повестки дня для устойчивого развития до 2030 года. Рабочий документ Статистического отдела ФАО доступен по адресу: http://www.fao.org/3/a-i6858e.pdf</w:t>
      </w:r>
    </w:p>
    <w:p w:rsidR="00D543E7" w:rsidRDefault="00D543E7" w:rsidP="00D543E7">
      <w:pPr>
        <w:spacing w:before="100" w:beforeAutospacing="1" w:after="100" w:afterAutospacing="1"/>
        <w:jc w:val="both"/>
        <w:rPr>
          <w:rFonts w:ascii="Times New Roman" w:hAnsi="Times New Roman" w:cs="Times New Roman"/>
          <w:b/>
          <w:sz w:val="24"/>
          <w:szCs w:val="24"/>
        </w:rPr>
      </w:pPr>
    </w:p>
    <w:p w:rsidR="00D543E7" w:rsidRPr="00B27A0B" w:rsidRDefault="00D543E7" w:rsidP="00D543E7">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Связанные показатели</w:t>
      </w:r>
      <w:r w:rsidRPr="00A218FA">
        <w:rPr>
          <w:rFonts w:ascii="Times New Roman" w:hAnsi="Times New Roman" w:cs="Times New Roman"/>
          <w:b/>
          <w:color w:val="0070C0"/>
          <w:sz w:val="24"/>
          <w:szCs w:val="24"/>
        </w:rPr>
        <w:t xml:space="preserve"> </w:t>
      </w:r>
    </w:p>
    <w:p w:rsidR="00D543E7" w:rsidRPr="00B27A0B" w:rsidRDefault="00D543E7" w:rsidP="00D543E7">
      <w:pPr>
        <w:spacing w:before="100" w:beforeAutospacing="1" w:after="100" w:afterAutospacing="1"/>
        <w:jc w:val="both"/>
        <w:rPr>
          <w:rFonts w:ascii="Times New Roman" w:hAnsi="Times New Roman" w:cs="Times New Roman"/>
          <w:b/>
          <w:sz w:val="24"/>
          <w:szCs w:val="24"/>
          <w:lang w:val="ru-RU"/>
        </w:rPr>
      </w:pPr>
    </w:p>
    <w:p w:rsidR="00D543E7" w:rsidRPr="003E555A" w:rsidRDefault="00D543E7" w:rsidP="00D543E7">
      <w:pPr>
        <w:spacing w:before="100" w:beforeAutospacing="1" w:after="100" w:afterAutospacing="1"/>
        <w:jc w:val="both"/>
        <w:rPr>
          <w:rFonts w:ascii="Times New Roman" w:hAnsi="Times New Roman" w:cs="Times New Roman"/>
          <w:b/>
          <w:sz w:val="24"/>
          <w:szCs w:val="24"/>
          <w:lang w:val="ru-RU"/>
        </w:rPr>
      </w:pPr>
      <w:r w:rsidRPr="003E555A">
        <w:rPr>
          <w:rFonts w:ascii="Times New Roman" w:hAnsi="Times New Roman" w:cs="Times New Roman"/>
          <w:b/>
          <w:sz w:val="24"/>
          <w:szCs w:val="24"/>
          <w:lang w:val="ru-RU"/>
        </w:rPr>
        <w:t>Не применимо.</w:t>
      </w:r>
    </w:p>
    <w:p w:rsidR="00D543E7" w:rsidRPr="002724C2" w:rsidRDefault="00D543E7" w:rsidP="00D543E7">
      <w:pPr>
        <w:spacing w:before="100" w:beforeAutospacing="1" w:after="100" w:afterAutospacing="1"/>
        <w:jc w:val="both"/>
        <w:rPr>
          <w:rFonts w:ascii="Times New Roman" w:hAnsi="Times New Roman" w:cs="Times New Roman"/>
          <w:sz w:val="24"/>
          <w:szCs w:val="24"/>
          <w:lang w:val="ru-RU"/>
        </w:rPr>
      </w:pPr>
    </w:p>
    <w:p w:rsidR="00A409F5" w:rsidRPr="00D543E7" w:rsidRDefault="00A409F5" w:rsidP="00D543E7">
      <w:bookmarkStart w:id="0" w:name="_GoBack"/>
      <w:bookmarkEnd w:id="0"/>
    </w:p>
    <w:sectPr w:rsidR="00A409F5" w:rsidRPr="00D543E7">
      <w:headerReference w:type="default" r:id="rId8"/>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E30" w:rsidRDefault="00452E30" w:rsidP="008C5A63">
      <w:pPr>
        <w:spacing w:after="0" w:line="240" w:lineRule="auto"/>
      </w:pPr>
      <w:r>
        <w:separator/>
      </w:r>
    </w:p>
  </w:endnote>
  <w:endnote w:type="continuationSeparator" w:id="0">
    <w:p w:rsidR="00452E30" w:rsidRDefault="00452E30" w:rsidP="008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624372"/>
      <w:docPartObj>
        <w:docPartGallery w:val="Page Numbers (Bottom of Page)"/>
        <w:docPartUnique/>
      </w:docPartObj>
    </w:sdtPr>
    <w:sdtEndPr/>
    <w:sdtContent>
      <w:p w:rsidR="00FB1522" w:rsidRDefault="00FB1522">
        <w:pPr>
          <w:pStyle w:val="Footer"/>
          <w:jc w:val="center"/>
        </w:pPr>
        <w:r>
          <w:fldChar w:fldCharType="begin"/>
        </w:r>
        <w:r>
          <w:instrText>PAGE   \* MERGEFORMAT</w:instrText>
        </w:r>
        <w:r>
          <w:fldChar w:fldCharType="separate"/>
        </w:r>
        <w:r w:rsidR="001F1047" w:rsidRPr="001F1047">
          <w:rPr>
            <w:noProof/>
            <w:lang w:val="ru-RU"/>
          </w:rPr>
          <w:t>8</w:t>
        </w:r>
        <w:r>
          <w:fldChar w:fldCharType="end"/>
        </w:r>
      </w:p>
    </w:sdtContent>
  </w:sdt>
  <w:p w:rsidR="00FB1522" w:rsidRDefault="00FB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E30" w:rsidRDefault="00452E30" w:rsidP="008C5A63">
      <w:pPr>
        <w:spacing w:after="0" w:line="240" w:lineRule="auto"/>
      </w:pPr>
      <w:r>
        <w:separator/>
      </w:r>
    </w:p>
  </w:footnote>
  <w:footnote w:type="continuationSeparator" w:id="0">
    <w:p w:rsidR="00452E30" w:rsidRDefault="00452E30" w:rsidP="008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63" w:rsidRPr="008C5A63" w:rsidRDefault="008C5A63" w:rsidP="008C5A63">
    <w:pPr>
      <w:pStyle w:val="Header"/>
      <w:jc w:val="right"/>
      <w:rPr>
        <w:rFonts w:ascii="Times New Roman" w:hAnsi="Times New Roman" w:cs="Times New Roman"/>
        <w:i/>
        <w:sz w:val="24"/>
        <w:szCs w:val="24"/>
        <w:lang w:val="ru-RU"/>
      </w:rPr>
    </w:pPr>
    <w:r w:rsidRPr="008C5A63">
      <w:rPr>
        <w:rFonts w:ascii="Times New Roman" w:hAnsi="Times New Roman" w:cs="Times New Roman"/>
        <w:i/>
        <w:sz w:val="24"/>
        <w:szCs w:val="24"/>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2BA6"/>
    <w:multiLevelType w:val="hybridMultilevel"/>
    <w:tmpl w:val="7C1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26E"/>
    <w:multiLevelType w:val="hybridMultilevel"/>
    <w:tmpl w:val="8B0A8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F70B6"/>
    <w:multiLevelType w:val="hybridMultilevel"/>
    <w:tmpl w:val="A448D3C8"/>
    <w:lvl w:ilvl="0" w:tplc="1A1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B78DE"/>
    <w:multiLevelType w:val="hybridMultilevel"/>
    <w:tmpl w:val="67B27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694FC0"/>
    <w:multiLevelType w:val="hybridMultilevel"/>
    <w:tmpl w:val="71347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797D95"/>
    <w:multiLevelType w:val="hybridMultilevel"/>
    <w:tmpl w:val="FFE47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E018B0"/>
    <w:multiLevelType w:val="hybridMultilevel"/>
    <w:tmpl w:val="888A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1A3AF2"/>
    <w:multiLevelType w:val="hybridMultilevel"/>
    <w:tmpl w:val="35405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6AE17A07"/>
    <w:multiLevelType w:val="hybridMultilevel"/>
    <w:tmpl w:val="7A741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F23014"/>
    <w:multiLevelType w:val="hybridMultilevel"/>
    <w:tmpl w:val="35BCF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766DB2"/>
    <w:multiLevelType w:val="hybridMultilevel"/>
    <w:tmpl w:val="B6BE22D2"/>
    <w:lvl w:ilvl="0" w:tplc="D27C69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65DDB"/>
    <w:multiLevelType w:val="hybridMultilevel"/>
    <w:tmpl w:val="6EF64F12"/>
    <w:lvl w:ilvl="0" w:tplc="04190001">
      <w:start w:val="1"/>
      <w:numFmt w:val="bullet"/>
      <w:lvlText w:val=""/>
      <w:lvlJc w:val="left"/>
      <w:pPr>
        <w:ind w:left="720" w:hanging="360"/>
      </w:pPr>
      <w:rPr>
        <w:rFonts w:ascii="Symbol" w:hAnsi="Symbol" w:hint="default"/>
      </w:rPr>
    </w:lvl>
    <w:lvl w:ilvl="1" w:tplc="BC9AF45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141194"/>
    <w:multiLevelType w:val="hybridMultilevel"/>
    <w:tmpl w:val="03A0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267EAC"/>
    <w:multiLevelType w:val="hybridMultilevel"/>
    <w:tmpl w:val="A1F6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BD4B7C"/>
    <w:multiLevelType w:val="hybridMultilevel"/>
    <w:tmpl w:val="3FA6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0"/>
  </w:num>
  <w:num w:numId="5">
    <w:abstractNumId w:val="10"/>
  </w:num>
  <w:num w:numId="6">
    <w:abstractNumId w:val="14"/>
  </w:num>
  <w:num w:numId="7">
    <w:abstractNumId w:val="4"/>
  </w:num>
  <w:num w:numId="8">
    <w:abstractNumId w:val="11"/>
  </w:num>
  <w:num w:numId="9">
    <w:abstractNumId w:val="8"/>
  </w:num>
  <w:num w:numId="10">
    <w:abstractNumId w:val="7"/>
  </w:num>
  <w:num w:numId="11">
    <w:abstractNumId w:val="13"/>
  </w:num>
  <w:num w:numId="12">
    <w:abstractNumId w:val="6"/>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0D2"/>
    <w:rsid w:val="00002058"/>
    <w:rsid w:val="0007154E"/>
    <w:rsid w:val="000B3B97"/>
    <w:rsid w:val="000D5EE9"/>
    <w:rsid w:val="00187A44"/>
    <w:rsid w:val="001F1047"/>
    <w:rsid w:val="002724C2"/>
    <w:rsid w:val="002E07F5"/>
    <w:rsid w:val="003E5409"/>
    <w:rsid w:val="003E555A"/>
    <w:rsid w:val="00452E30"/>
    <w:rsid w:val="004D6C9E"/>
    <w:rsid w:val="005C61F1"/>
    <w:rsid w:val="007F3834"/>
    <w:rsid w:val="008C5A63"/>
    <w:rsid w:val="00934FA4"/>
    <w:rsid w:val="00993FE9"/>
    <w:rsid w:val="00A409F5"/>
    <w:rsid w:val="00A867CF"/>
    <w:rsid w:val="00B21BD7"/>
    <w:rsid w:val="00CB057A"/>
    <w:rsid w:val="00CF16F0"/>
    <w:rsid w:val="00D543E7"/>
    <w:rsid w:val="00DC3554"/>
    <w:rsid w:val="00E22997"/>
    <w:rsid w:val="00EC10D2"/>
    <w:rsid w:val="00F448C1"/>
    <w:rsid w:val="00FB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9E"/>
    <w:pPr>
      <w:ind w:left="720"/>
      <w:contextualSpacing/>
    </w:pPr>
  </w:style>
  <w:style w:type="character" w:styleId="Hyperlink">
    <w:name w:val="Hyperlink"/>
    <w:basedOn w:val="DefaultParagraphFont"/>
    <w:uiPriority w:val="99"/>
    <w:unhideWhenUsed/>
    <w:rsid w:val="004D6C9E"/>
    <w:rPr>
      <w:color w:val="0000FF" w:themeColor="hyperlink"/>
      <w:u w:val="single"/>
    </w:rPr>
  </w:style>
  <w:style w:type="paragraph" w:styleId="BalloonText">
    <w:name w:val="Balloon Text"/>
    <w:basedOn w:val="Normal"/>
    <w:link w:val="BalloonTextChar"/>
    <w:uiPriority w:val="99"/>
    <w:semiHidden/>
    <w:unhideWhenUsed/>
    <w:rsid w:val="00DC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54"/>
    <w:rPr>
      <w:rFonts w:ascii="Tahoma" w:hAnsi="Tahoma" w:cs="Tahoma"/>
      <w:sz w:val="16"/>
      <w:szCs w:val="16"/>
    </w:rPr>
  </w:style>
  <w:style w:type="paragraph" w:styleId="BodyText">
    <w:name w:val="Body Text"/>
    <w:basedOn w:val="Normal"/>
    <w:link w:val="BodyTextChar"/>
    <w:uiPriority w:val="1"/>
    <w:qFormat/>
    <w:rsid w:val="00A409F5"/>
    <w:pPr>
      <w:widowControl w:val="0"/>
      <w:autoSpaceDE w:val="0"/>
      <w:autoSpaceDN w:val="0"/>
      <w:adjustRightInd w:val="0"/>
      <w:spacing w:before="64" w:after="0" w:line="240" w:lineRule="auto"/>
      <w:ind w:left="845"/>
    </w:pPr>
    <w:rPr>
      <w:rFonts w:ascii="Arial" w:eastAsiaTheme="minorEastAsia" w:hAnsi="Arial" w:cs="Arial"/>
      <w:sz w:val="19"/>
      <w:szCs w:val="19"/>
      <w:lang w:val="en-GB" w:eastAsia="en-GB"/>
    </w:rPr>
  </w:style>
  <w:style w:type="character" w:customStyle="1" w:styleId="BodyTextChar">
    <w:name w:val="Body Text Char"/>
    <w:basedOn w:val="DefaultParagraphFont"/>
    <w:link w:val="BodyText"/>
    <w:uiPriority w:val="1"/>
    <w:rsid w:val="00A409F5"/>
    <w:rPr>
      <w:rFonts w:ascii="Arial" w:eastAsiaTheme="minorEastAsia" w:hAnsi="Arial" w:cs="Arial"/>
      <w:sz w:val="19"/>
      <w:szCs w:val="19"/>
      <w:lang w:val="en-GB" w:eastAsia="en-GB"/>
    </w:rPr>
  </w:style>
  <w:style w:type="paragraph" w:styleId="Header">
    <w:name w:val="header"/>
    <w:basedOn w:val="Normal"/>
    <w:link w:val="HeaderChar"/>
    <w:uiPriority w:val="99"/>
    <w:unhideWhenUsed/>
    <w:rsid w:val="008C5A63"/>
    <w:pPr>
      <w:tabs>
        <w:tab w:val="center" w:pos="4677"/>
        <w:tab w:val="right" w:pos="9355"/>
      </w:tabs>
      <w:spacing w:after="0" w:line="240" w:lineRule="auto"/>
    </w:pPr>
  </w:style>
  <w:style w:type="character" w:customStyle="1" w:styleId="HeaderChar">
    <w:name w:val="Header Char"/>
    <w:basedOn w:val="DefaultParagraphFont"/>
    <w:link w:val="Header"/>
    <w:uiPriority w:val="99"/>
    <w:rsid w:val="008C5A63"/>
  </w:style>
  <w:style w:type="paragraph" w:styleId="Footer">
    <w:name w:val="footer"/>
    <w:basedOn w:val="Normal"/>
    <w:link w:val="FooterChar"/>
    <w:uiPriority w:val="99"/>
    <w:unhideWhenUsed/>
    <w:rsid w:val="008C5A6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C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o.org/docrep/014/i2294e/i2294e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10</cp:revision>
  <cp:lastPrinted>2019-03-05T14:34:00Z</cp:lastPrinted>
  <dcterms:created xsi:type="dcterms:W3CDTF">2018-08-02T12:29:00Z</dcterms:created>
  <dcterms:modified xsi:type="dcterms:W3CDTF">2021-08-19T09:54:00Z</dcterms:modified>
</cp:coreProperties>
</file>