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D34C3" w14:textId="77777777" w:rsidR="007518BC" w:rsidRPr="00775B03" w:rsidRDefault="007518BC" w:rsidP="007518BC">
      <w:pPr>
        <w:pStyle w:val="MGTHeader"/>
        <w:rPr>
          <w:lang w:val="ru-RU"/>
        </w:rPr>
      </w:pPr>
      <w:r w:rsidRPr="00775B03">
        <w:rPr>
          <w:lang w:val="ru-RU"/>
        </w:rPr>
        <w:t>Цель 17. Укрепление средств осуществления и активизация работы в рамках Глобального партнерства в интересах устойчивого развития</w:t>
      </w:r>
    </w:p>
    <w:p w14:paraId="396E1BB2" w14:textId="77777777" w:rsidR="007518BC" w:rsidRPr="00775B03" w:rsidRDefault="007518BC" w:rsidP="007518BC">
      <w:pPr>
        <w:pStyle w:val="MGTHeader"/>
        <w:rPr>
          <w:lang w:val="ru-RU"/>
        </w:rPr>
      </w:pPr>
      <w:r w:rsidRPr="00775B03">
        <w:rPr>
          <w:lang w:val="ru-RU"/>
        </w:rPr>
        <w:t xml:space="preserve">17.13 Повысить глобальную макроэкономическую стабильность, в том числе посредством координации политики и обеспечения последовательности политики </w:t>
      </w:r>
    </w:p>
    <w:p w14:paraId="50294312" w14:textId="77777777" w:rsidR="007518BC" w:rsidRDefault="007518BC" w:rsidP="007518BC">
      <w:pPr>
        <w:pStyle w:val="MHeader"/>
        <w:rPr>
          <w:sz w:val="22"/>
          <w:szCs w:val="22"/>
          <w:lang w:val="ru-RU"/>
        </w:rPr>
      </w:pPr>
      <w:r w:rsidRPr="00E34F70">
        <w:rPr>
          <w:sz w:val="22"/>
          <w:szCs w:val="22"/>
          <w:lang w:val="ru-RU"/>
        </w:rPr>
        <w:t>17.13.1 Единый</w:t>
      </w:r>
      <w:r>
        <w:rPr>
          <w:sz w:val="22"/>
          <w:szCs w:val="22"/>
          <w:lang w:val="ru-RU"/>
        </w:rPr>
        <w:t xml:space="preserve"> набор контрольных макроэкономи</w:t>
      </w:r>
      <w:r w:rsidRPr="00E34F70">
        <w:rPr>
          <w:sz w:val="22"/>
          <w:szCs w:val="22"/>
          <w:lang w:val="ru-RU"/>
        </w:rPr>
        <w:t>ческих показателей</w:t>
      </w:r>
    </w:p>
    <w:p w14:paraId="59FEE759" w14:textId="77777777" w:rsidR="007518BC" w:rsidRDefault="007518BC" w:rsidP="007518BC">
      <w:pPr>
        <w:pStyle w:val="MHeader"/>
        <w:rPr>
          <w:sz w:val="24"/>
          <w:szCs w:val="24"/>
          <w:lang w:val="ru-RU"/>
        </w:rPr>
      </w:pPr>
    </w:p>
    <w:p w14:paraId="22FE2B0F" w14:textId="77777777" w:rsidR="007518BC" w:rsidRPr="007F1EA8" w:rsidRDefault="007518BC" w:rsidP="007518BC">
      <w:pPr>
        <w:pStyle w:val="MHeader"/>
        <w:jc w:val="right"/>
        <w:rPr>
          <w:b/>
          <w:color w:val="FF0000"/>
          <w:sz w:val="24"/>
          <w:szCs w:val="24"/>
          <w:lang w:val="ru-RU"/>
        </w:rPr>
      </w:pPr>
      <w:r w:rsidRPr="007F1EA8">
        <w:rPr>
          <w:b/>
          <w:color w:val="FF0000"/>
          <w:sz w:val="24"/>
          <w:szCs w:val="24"/>
          <w:highlight w:val="yellow"/>
          <w:lang w:val="ru-RU"/>
        </w:rPr>
        <w:t>НЕОФИЦИАЛЬНЫЙ ПЕРЕВОД_12.09.2019 г.</w:t>
      </w:r>
    </w:p>
    <w:p w14:paraId="0BC69D3E" w14:textId="77777777" w:rsidR="007518BC" w:rsidRPr="00945860" w:rsidRDefault="007518BC" w:rsidP="007518BC">
      <w:pPr>
        <w:pStyle w:val="MHeader"/>
        <w:rPr>
          <w:lang w:val="ru-RU"/>
        </w:rPr>
      </w:pPr>
      <w:r>
        <w:rPr>
          <w:lang w:val="ru-RU"/>
        </w:rPr>
        <w:t>Институциональная информация</w:t>
      </w:r>
    </w:p>
    <w:p w14:paraId="5D8B0F3D" w14:textId="77777777" w:rsidR="007518BC" w:rsidRPr="00945860" w:rsidRDefault="007518BC" w:rsidP="007518BC">
      <w:pPr>
        <w:shd w:val="clear" w:color="auto" w:fill="FFFFFF"/>
        <w:spacing w:after="0"/>
        <w:rPr>
          <w:rFonts w:eastAsia="Times New Roman" w:cs="Times New Roman"/>
          <w:b/>
          <w:bCs/>
          <w:color w:val="4A4A4A"/>
          <w:sz w:val="21"/>
          <w:szCs w:val="21"/>
          <w:lang w:val="ru-RU" w:eastAsia="en-GB"/>
        </w:rPr>
      </w:pPr>
    </w:p>
    <w:p w14:paraId="3AD48E72" w14:textId="77777777" w:rsidR="007518BC" w:rsidRPr="001F59ED" w:rsidRDefault="007518BC" w:rsidP="007518BC">
      <w:pPr>
        <w:pStyle w:val="MSubHeader"/>
        <w:rPr>
          <w:lang w:val="ru-RU"/>
        </w:rPr>
      </w:pPr>
      <w:r>
        <w:rPr>
          <w:lang w:val="ru-RU"/>
        </w:rPr>
        <w:t>Организация</w:t>
      </w:r>
      <w:r w:rsidRPr="001F59ED">
        <w:rPr>
          <w:lang w:val="ru-RU"/>
        </w:rPr>
        <w:t xml:space="preserve"> (и):</w:t>
      </w:r>
    </w:p>
    <w:p w14:paraId="07698BDA" w14:textId="77777777" w:rsidR="007518BC" w:rsidRPr="001F59ED" w:rsidRDefault="007518BC" w:rsidP="007518BC">
      <w:pPr>
        <w:pStyle w:val="MText"/>
        <w:rPr>
          <w:lang w:val="ru-RU"/>
        </w:rPr>
      </w:pPr>
      <w:r>
        <w:rPr>
          <w:lang w:val="ru-RU"/>
        </w:rPr>
        <w:t>Всемирный</w:t>
      </w:r>
      <w:r w:rsidRPr="001F59ED">
        <w:rPr>
          <w:lang w:val="ru-RU"/>
        </w:rPr>
        <w:t xml:space="preserve"> </w:t>
      </w:r>
      <w:r>
        <w:rPr>
          <w:lang w:val="ru-RU"/>
        </w:rPr>
        <w:t>банк</w:t>
      </w:r>
    </w:p>
    <w:p w14:paraId="7726D4E7" w14:textId="77777777" w:rsidR="007518BC" w:rsidRPr="001F59ED" w:rsidRDefault="007518BC" w:rsidP="007518BC">
      <w:pPr>
        <w:pStyle w:val="Heading2"/>
        <w:rPr>
          <w:lang w:val="ru-RU"/>
        </w:rPr>
      </w:pPr>
    </w:p>
    <w:p w14:paraId="27C2904A" w14:textId="77777777" w:rsidR="007518BC" w:rsidRPr="006B482E" w:rsidRDefault="007518BC" w:rsidP="007518BC">
      <w:pPr>
        <w:rPr>
          <w:i/>
          <w:iCs/>
          <w:color w:val="FF0000"/>
          <w:lang w:val="ru-RU"/>
        </w:rPr>
      </w:pPr>
      <w:r>
        <w:rPr>
          <w:i/>
          <w:iCs/>
          <w:color w:val="FF0000"/>
          <w:lang w:val="ru-RU"/>
        </w:rPr>
        <w:t>Примечание: С</w:t>
      </w:r>
      <w:r w:rsidRPr="006B482E">
        <w:rPr>
          <w:i/>
          <w:iCs/>
          <w:color w:val="FF0000"/>
          <w:lang w:val="ru-RU"/>
        </w:rPr>
        <w:t xml:space="preserve">ледующие справочные метаданные для </w:t>
      </w:r>
      <w:r>
        <w:rPr>
          <w:i/>
          <w:iCs/>
          <w:color w:val="FF0000"/>
          <w:lang w:val="ru-RU"/>
        </w:rPr>
        <w:t>показателя</w:t>
      </w:r>
      <w:r w:rsidRPr="006B482E">
        <w:rPr>
          <w:i/>
          <w:iCs/>
          <w:color w:val="FF0000"/>
          <w:lang w:val="ru-RU"/>
        </w:rPr>
        <w:t xml:space="preserve"> 17.13.1 были </w:t>
      </w:r>
      <w:r>
        <w:rPr>
          <w:i/>
          <w:iCs/>
          <w:color w:val="FF0000"/>
          <w:lang w:val="ru-RU"/>
        </w:rPr>
        <w:t>пере</w:t>
      </w:r>
      <w:r w:rsidRPr="006B482E">
        <w:rPr>
          <w:i/>
          <w:iCs/>
          <w:color w:val="FF0000"/>
          <w:lang w:val="ru-RU"/>
        </w:rPr>
        <w:t xml:space="preserve">смотрены на 8-м собрании МЭГ-ЦУР в ноябре 2018 года, и </w:t>
      </w:r>
      <w:r>
        <w:rPr>
          <w:i/>
          <w:iCs/>
          <w:color w:val="FF0000"/>
          <w:lang w:val="ru-RU"/>
        </w:rPr>
        <w:t>показатель</w:t>
      </w:r>
      <w:r w:rsidRPr="006B482E">
        <w:rPr>
          <w:i/>
          <w:iCs/>
          <w:color w:val="FF0000"/>
          <w:lang w:val="ru-RU"/>
        </w:rPr>
        <w:t xml:space="preserve"> был </w:t>
      </w:r>
      <w:proofErr w:type="spellStart"/>
      <w:r w:rsidRPr="006B482E">
        <w:rPr>
          <w:i/>
          <w:iCs/>
          <w:color w:val="FF0000"/>
          <w:lang w:val="ru-RU"/>
        </w:rPr>
        <w:t>реклассифицирован</w:t>
      </w:r>
      <w:proofErr w:type="spellEnd"/>
      <w:r w:rsidRPr="006B482E">
        <w:rPr>
          <w:i/>
          <w:iCs/>
          <w:color w:val="FF0000"/>
          <w:lang w:val="ru-RU"/>
        </w:rPr>
        <w:t xml:space="preserve"> с уровня </w:t>
      </w:r>
      <w:r w:rsidRPr="006B482E">
        <w:rPr>
          <w:i/>
          <w:iCs/>
          <w:color w:val="FF0000"/>
        </w:rPr>
        <w:t>III</w:t>
      </w:r>
      <w:r w:rsidRPr="006B482E">
        <w:rPr>
          <w:i/>
          <w:iCs/>
          <w:color w:val="FF0000"/>
          <w:lang w:val="ru-RU"/>
        </w:rPr>
        <w:t xml:space="preserve"> до </w:t>
      </w:r>
      <w:r w:rsidRPr="006B482E">
        <w:rPr>
          <w:i/>
          <w:iCs/>
          <w:color w:val="FF0000"/>
        </w:rPr>
        <w:t>II</w:t>
      </w:r>
      <w:r w:rsidRPr="006B482E">
        <w:rPr>
          <w:i/>
          <w:iCs/>
          <w:color w:val="FF0000"/>
          <w:lang w:val="ru-RU"/>
        </w:rPr>
        <w:t xml:space="preserve">. Эта информация в стандартном формате шаблона метаданных </w:t>
      </w:r>
      <w:r w:rsidRPr="006D3B6C">
        <w:rPr>
          <w:i/>
          <w:iCs/>
          <w:color w:val="FF0000"/>
          <w:lang w:val="ru-RU"/>
        </w:rPr>
        <w:t>ЦУР</w:t>
      </w:r>
      <w:r w:rsidRPr="006B482E">
        <w:rPr>
          <w:i/>
          <w:iCs/>
          <w:color w:val="FF0000"/>
          <w:lang w:val="ru-RU"/>
        </w:rPr>
        <w:t xml:space="preserve"> будет доступна в ближайшее время</w:t>
      </w:r>
    </w:p>
    <w:p w14:paraId="6E262FC9" w14:textId="77777777" w:rsidR="007518BC" w:rsidRPr="006B482E" w:rsidRDefault="007518BC" w:rsidP="007518BC">
      <w:pPr>
        <w:rPr>
          <w:b/>
          <w:lang w:val="ru-RU"/>
        </w:rPr>
      </w:pPr>
    </w:p>
    <w:p w14:paraId="4A04281B" w14:textId="77777777" w:rsidR="007518BC" w:rsidRPr="00BA3D74" w:rsidRDefault="007518BC" w:rsidP="007518BC">
      <w:pPr>
        <w:rPr>
          <w:b/>
          <w:lang w:val="ru-RU"/>
        </w:rPr>
      </w:pPr>
      <w:r>
        <w:rPr>
          <w:b/>
          <w:lang w:val="ru-RU"/>
        </w:rPr>
        <w:t>Цель</w:t>
      </w:r>
      <w:r w:rsidRPr="00BA3D74">
        <w:rPr>
          <w:b/>
          <w:lang w:val="ru-RU"/>
        </w:rPr>
        <w:t>:</w:t>
      </w:r>
    </w:p>
    <w:p w14:paraId="1C8377D7" w14:textId="77777777" w:rsidR="007518BC" w:rsidRPr="006B482E" w:rsidRDefault="007518BC" w:rsidP="007518BC">
      <w:pPr>
        <w:autoSpaceDE w:val="0"/>
        <w:autoSpaceDN w:val="0"/>
        <w:adjustRightInd w:val="0"/>
        <w:rPr>
          <w:color w:val="000000"/>
          <w:lang w:val="ru-RU"/>
        </w:rPr>
      </w:pPr>
      <w:r w:rsidRPr="006B482E">
        <w:rPr>
          <w:color w:val="000000"/>
          <w:lang w:val="ru-RU"/>
        </w:rPr>
        <w:t xml:space="preserve">Чтобы обеспечить стандартизированный инструмент для мониторинга макроэкономической стабильности стран, Всемирный банк разработал </w:t>
      </w:r>
      <w:r w:rsidRPr="001C0561">
        <w:rPr>
          <w:color w:val="000000"/>
          <w:lang w:val="ru-RU"/>
        </w:rPr>
        <w:t>Единый набор контрольных макроэкономических показателей</w:t>
      </w:r>
      <w:r>
        <w:rPr>
          <w:color w:val="000000"/>
          <w:lang w:val="ru-RU"/>
        </w:rPr>
        <w:t>, включающий</w:t>
      </w:r>
      <w:r w:rsidRPr="006B482E">
        <w:rPr>
          <w:color w:val="000000"/>
          <w:lang w:val="ru-RU"/>
        </w:rPr>
        <w:t xml:space="preserve"> важные макроэкономические показатели, охватывающие внешний, финансовый, фи</w:t>
      </w:r>
      <w:r>
        <w:rPr>
          <w:color w:val="000000"/>
          <w:lang w:val="ru-RU"/>
        </w:rPr>
        <w:t>скаль</w:t>
      </w:r>
      <w:r w:rsidRPr="006B482E">
        <w:rPr>
          <w:color w:val="000000"/>
          <w:lang w:val="ru-RU"/>
        </w:rPr>
        <w:t xml:space="preserve">ный и реальный секторы. Выбор </w:t>
      </w:r>
      <w:r>
        <w:rPr>
          <w:color w:val="000000"/>
          <w:lang w:val="ru-RU"/>
        </w:rPr>
        <w:t>показателя</w:t>
      </w:r>
      <w:r w:rsidRPr="006B482E">
        <w:rPr>
          <w:color w:val="000000"/>
          <w:lang w:val="ru-RU"/>
        </w:rPr>
        <w:t xml:space="preserve"> основан на существующих </w:t>
      </w:r>
      <w:r>
        <w:rPr>
          <w:color w:val="000000"/>
          <w:lang w:val="ru-RU"/>
        </w:rPr>
        <w:t>систе</w:t>
      </w:r>
      <w:r w:rsidRPr="006B482E">
        <w:rPr>
          <w:color w:val="000000"/>
          <w:lang w:val="ru-RU"/>
        </w:rPr>
        <w:t>мах макроэкономического мониторинга, разработанных и используемых международными и региональными агентствами, такими как МВФ, ВБ, ЕЦБ и ОЭСР.</w:t>
      </w:r>
    </w:p>
    <w:p w14:paraId="7A993963" w14:textId="77777777" w:rsidR="007518BC" w:rsidRPr="006B482E" w:rsidRDefault="007518BC" w:rsidP="007518BC">
      <w:pPr>
        <w:autoSpaceDE w:val="0"/>
        <w:autoSpaceDN w:val="0"/>
        <w:adjustRightInd w:val="0"/>
        <w:rPr>
          <w:lang w:val="ru-RU"/>
        </w:rPr>
      </w:pPr>
      <w:r w:rsidRPr="00BA3D74">
        <w:rPr>
          <w:color w:val="000000"/>
          <w:lang w:val="ru-RU"/>
        </w:rPr>
        <w:t xml:space="preserve">Единый набор контрольных макроэкономических показателей </w:t>
      </w:r>
      <w:r>
        <w:rPr>
          <w:color w:val="000000"/>
          <w:lang w:val="ru-RU"/>
        </w:rPr>
        <w:t>(</w:t>
      </w:r>
      <w:r w:rsidRPr="009500A8">
        <w:rPr>
          <w:i/>
          <w:color w:val="000000"/>
          <w:lang w:val="ru-RU"/>
        </w:rPr>
        <w:t>далее по тексту Единый набор</w:t>
      </w:r>
      <w:r>
        <w:rPr>
          <w:color w:val="000000"/>
          <w:lang w:val="ru-RU"/>
        </w:rPr>
        <w:t>) выбрал</w:t>
      </w:r>
      <w:r w:rsidRPr="006B482E">
        <w:rPr>
          <w:color w:val="000000"/>
          <w:lang w:val="ru-RU"/>
        </w:rPr>
        <w:t xml:space="preserve"> </w:t>
      </w:r>
      <w:r>
        <w:rPr>
          <w:color w:val="000000"/>
          <w:lang w:val="ru-RU"/>
        </w:rPr>
        <w:t>показатели</w:t>
      </w:r>
      <w:r w:rsidRPr="006B482E">
        <w:rPr>
          <w:color w:val="000000"/>
          <w:lang w:val="ru-RU"/>
        </w:rPr>
        <w:t xml:space="preserve">, охватывающие вышеупомянутые темы, годовые данные за последние десять лет и будет поддерживаться для всех стран. </w:t>
      </w:r>
      <w:r w:rsidRPr="00BA3D74">
        <w:rPr>
          <w:color w:val="000000"/>
          <w:lang w:val="ru-RU"/>
        </w:rPr>
        <w:t xml:space="preserve">Единый набор контрольных макроэкономических показателей </w:t>
      </w:r>
      <w:r w:rsidRPr="006B482E">
        <w:rPr>
          <w:color w:val="000000"/>
          <w:lang w:val="ru-RU"/>
        </w:rPr>
        <w:t>будет обновляться ежеквартально и будет публиковаться на сайте данных Всемирного банка (</w:t>
      </w:r>
      <w:r w:rsidRPr="006B482E">
        <w:rPr>
          <w:color w:val="000000"/>
        </w:rPr>
        <w:t>Data</w:t>
      </w:r>
      <w:r w:rsidRPr="006B482E">
        <w:rPr>
          <w:color w:val="000000"/>
          <w:lang w:val="ru-RU"/>
        </w:rPr>
        <w:t>.</w:t>
      </w:r>
      <w:proofErr w:type="spellStart"/>
      <w:r w:rsidRPr="006B482E">
        <w:rPr>
          <w:color w:val="000000"/>
        </w:rPr>
        <w:t>WorldBank</w:t>
      </w:r>
      <w:proofErr w:type="spellEnd"/>
      <w:r w:rsidRPr="006B482E">
        <w:rPr>
          <w:color w:val="000000"/>
          <w:lang w:val="ru-RU"/>
        </w:rPr>
        <w:t>.</w:t>
      </w:r>
      <w:r w:rsidRPr="006B482E">
        <w:rPr>
          <w:color w:val="000000"/>
        </w:rPr>
        <w:t>org</w:t>
      </w:r>
      <w:r w:rsidRPr="006B482E">
        <w:rPr>
          <w:color w:val="000000"/>
          <w:lang w:val="ru-RU"/>
        </w:rPr>
        <w:t>), а также на веб-сайте ЦУР ООН.</w:t>
      </w:r>
    </w:p>
    <w:p w14:paraId="633B7357" w14:textId="77777777" w:rsidR="007518BC" w:rsidRPr="00C12203" w:rsidRDefault="007518BC" w:rsidP="007518BC">
      <w:pPr>
        <w:autoSpaceDE w:val="0"/>
        <w:autoSpaceDN w:val="0"/>
        <w:adjustRightInd w:val="0"/>
        <w:rPr>
          <w:b/>
          <w:color w:val="000000"/>
          <w:lang w:val="ru-RU"/>
        </w:rPr>
      </w:pPr>
      <w:r>
        <w:rPr>
          <w:b/>
          <w:color w:val="000000"/>
          <w:lang w:val="ru-RU"/>
        </w:rPr>
        <w:t>Внешний сектор</w:t>
      </w:r>
      <w:r w:rsidRPr="00C12203">
        <w:rPr>
          <w:b/>
          <w:color w:val="000000"/>
          <w:lang w:val="ru-RU"/>
        </w:rPr>
        <w:t xml:space="preserve"> </w:t>
      </w:r>
    </w:p>
    <w:p w14:paraId="7AC4AB7D" w14:textId="77777777" w:rsidR="007518BC" w:rsidRPr="006B482E" w:rsidRDefault="007518BC" w:rsidP="007518BC">
      <w:pPr>
        <w:autoSpaceDE w:val="0"/>
        <w:autoSpaceDN w:val="0"/>
        <w:adjustRightInd w:val="0"/>
        <w:rPr>
          <w:color w:val="000000"/>
          <w:u w:val="single"/>
          <w:lang w:val="ru-RU"/>
        </w:rPr>
      </w:pPr>
      <w:r w:rsidRPr="006B482E">
        <w:rPr>
          <w:color w:val="000000"/>
          <w:lang w:val="ru-RU"/>
        </w:rPr>
        <w:t>Для мониторинга ситуации в</w:t>
      </w:r>
      <w:r>
        <w:rPr>
          <w:color w:val="000000"/>
          <w:lang w:val="ru-RU"/>
        </w:rPr>
        <w:t xml:space="preserve"> торговом</w:t>
      </w:r>
      <w:r w:rsidRPr="006B482E">
        <w:rPr>
          <w:color w:val="000000"/>
          <w:lang w:val="ru-RU"/>
        </w:rPr>
        <w:t xml:space="preserve"> и платежном балансе каждой страны</w:t>
      </w:r>
      <w:r>
        <w:rPr>
          <w:color w:val="000000"/>
          <w:lang w:val="ru-RU"/>
        </w:rPr>
        <w:t>, единый набор</w:t>
      </w:r>
      <w:r w:rsidRPr="006B482E">
        <w:rPr>
          <w:color w:val="000000"/>
          <w:lang w:val="ru-RU"/>
        </w:rPr>
        <w:t xml:space="preserve"> </w:t>
      </w:r>
      <w:r>
        <w:rPr>
          <w:color w:val="000000"/>
          <w:lang w:val="ru-RU"/>
        </w:rPr>
        <w:t>будет включать</w:t>
      </w:r>
      <w:r w:rsidRPr="006B482E">
        <w:rPr>
          <w:color w:val="000000"/>
          <w:lang w:val="ru-RU"/>
        </w:rPr>
        <w:t xml:space="preserve"> </w:t>
      </w:r>
      <w:r>
        <w:rPr>
          <w:color w:val="000000"/>
          <w:lang w:val="ru-RU"/>
        </w:rPr>
        <w:t>показатели</w:t>
      </w:r>
      <w:r w:rsidRPr="006B482E">
        <w:rPr>
          <w:color w:val="000000"/>
          <w:lang w:val="ru-RU"/>
        </w:rPr>
        <w:t xml:space="preserve"> для текущих и финансовых счетов</w:t>
      </w:r>
      <w:r>
        <w:rPr>
          <w:color w:val="000000"/>
          <w:lang w:val="ru-RU"/>
        </w:rPr>
        <w:t xml:space="preserve"> и счетов капитала</w:t>
      </w:r>
      <w:r w:rsidRPr="006B482E">
        <w:rPr>
          <w:color w:val="000000"/>
          <w:lang w:val="ru-RU"/>
        </w:rPr>
        <w:t>.</w:t>
      </w:r>
      <w:r w:rsidRPr="006B482E">
        <w:rPr>
          <w:color w:val="000000"/>
          <w:lang w:val="ru-RU"/>
        </w:rPr>
        <w:br/>
      </w:r>
    </w:p>
    <w:p w14:paraId="65F3E746" w14:textId="77777777" w:rsidR="007518BC" w:rsidRPr="006B482E" w:rsidRDefault="007518BC" w:rsidP="007518BC">
      <w:pPr>
        <w:autoSpaceDE w:val="0"/>
        <w:autoSpaceDN w:val="0"/>
        <w:adjustRightInd w:val="0"/>
        <w:rPr>
          <w:color w:val="000000"/>
          <w:lang w:val="ru-RU"/>
        </w:rPr>
      </w:pPr>
      <w:r w:rsidRPr="00C12203">
        <w:rPr>
          <w:u w:val="single"/>
          <w:lang w:val="ru-RU"/>
        </w:rPr>
        <w:t>Текущий счет/</w:t>
      </w:r>
      <w:r w:rsidRPr="00C12203">
        <w:rPr>
          <w:rFonts w:cs="FuturaBT-Light"/>
          <w:u w:val="single"/>
          <w:lang w:val="ru-RU"/>
        </w:rPr>
        <w:t>Счет текущих операций</w:t>
      </w:r>
      <w:r w:rsidRPr="006B482E">
        <w:rPr>
          <w:rFonts w:cs="FuturaBT-Light"/>
          <w:lang w:val="ru-RU"/>
        </w:rPr>
        <w:t xml:space="preserve">. Сальдо счета текущих операций является важным показателем </w:t>
      </w:r>
      <w:r>
        <w:rPr>
          <w:rFonts w:cs="FuturaBT-Light"/>
          <w:lang w:val="ru-RU"/>
        </w:rPr>
        <w:t>здоровь</w:t>
      </w:r>
      <w:r w:rsidRPr="006B482E">
        <w:rPr>
          <w:rFonts w:cs="FuturaBT-Light"/>
          <w:lang w:val="ru-RU"/>
        </w:rPr>
        <w:t>я экономики. Он</w:t>
      </w:r>
      <w:r>
        <w:rPr>
          <w:rFonts w:cs="FuturaBT-Light"/>
          <w:lang w:val="ru-RU"/>
        </w:rPr>
        <w:t>о</w:t>
      </w:r>
      <w:r w:rsidRPr="006B482E">
        <w:rPr>
          <w:rFonts w:cs="FuturaBT-Light"/>
          <w:lang w:val="ru-RU"/>
        </w:rPr>
        <w:t xml:space="preserve"> определяется как сумма баланса ресурсов (экспорт за вычетом импорта товаров и услуг), чистого первичного дохода и вторичного дохода. Кроме того, </w:t>
      </w:r>
      <w:r>
        <w:rPr>
          <w:rFonts w:cs="FuturaBT-Light"/>
          <w:lang w:val="ru-RU"/>
        </w:rPr>
        <w:t>единый набор показателей</w:t>
      </w:r>
      <w:r w:rsidRPr="006B482E">
        <w:rPr>
          <w:rFonts w:cs="FuturaBT-Light"/>
          <w:lang w:val="ru-RU"/>
        </w:rPr>
        <w:t xml:space="preserve"> включает в себя такие показатели, как товарная торговля как доля </w:t>
      </w:r>
      <w:r>
        <w:rPr>
          <w:rFonts w:cs="FuturaBT-Light"/>
          <w:lang w:val="ru-RU"/>
        </w:rPr>
        <w:t xml:space="preserve">от </w:t>
      </w:r>
      <w:r w:rsidRPr="006B482E">
        <w:rPr>
          <w:rFonts w:cs="FuturaBT-Light"/>
          <w:lang w:val="ru-RU"/>
        </w:rPr>
        <w:t xml:space="preserve">ВВП для мониторинга открытости торговли страны, и данные о личных денежных переводах, которые стали важной составной частью многих развивающихся стран, поскольку любые </w:t>
      </w:r>
      <w:r w:rsidRPr="006B482E">
        <w:rPr>
          <w:rFonts w:cs="FuturaBT-Light"/>
          <w:lang w:val="ru-RU"/>
        </w:rPr>
        <w:lastRenderedPageBreak/>
        <w:t>изменени</w:t>
      </w:r>
      <w:r>
        <w:rPr>
          <w:rFonts w:cs="FuturaBT-Light"/>
          <w:lang w:val="ru-RU"/>
        </w:rPr>
        <w:t>я в этих потоках могут оказывать</w:t>
      </w:r>
      <w:r w:rsidRPr="006B482E">
        <w:rPr>
          <w:rFonts w:cs="FuturaBT-Light"/>
          <w:lang w:val="ru-RU"/>
        </w:rPr>
        <w:t xml:space="preserve"> значительное влияние на </w:t>
      </w:r>
      <w:r>
        <w:rPr>
          <w:rFonts w:cs="FuturaBT-Light"/>
          <w:lang w:val="ru-RU"/>
        </w:rPr>
        <w:t>сальдо текущих счетов</w:t>
      </w:r>
      <w:r w:rsidRPr="006B482E">
        <w:rPr>
          <w:rFonts w:cs="FuturaBT-Light"/>
          <w:lang w:val="ru-RU"/>
        </w:rPr>
        <w:t xml:space="preserve"> развивающихся стран. </w:t>
      </w:r>
      <w:r>
        <w:rPr>
          <w:rFonts w:cs="FuturaBT-Light"/>
          <w:lang w:val="ru-RU"/>
        </w:rPr>
        <w:t>Сальдо</w:t>
      </w:r>
      <w:r w:rsidRPr="006B482E">
        <w:rPr>
          <w:rFonts w:cs="FuturaBT-Light"/>
          <w:lang w:val="ru-RU"/>
        </w:rPr>
        <w:t xml:space="preserve"> текущего счета также определяется как разрыв между сбережениями и инвестициями в экономике.</w:t>
      </w:r>
    </w:p>
    <w:p w14:paraId="58FC54DA" w14:textId="77777777" w:rsidR="007518BC" w:rsidRPr="006B482E" w:rsidRDefault="007518BC" w:rsidP="007518BC">
      <w:pPr>
        <w:autoSpaceDE w:val="0"/>
        <w:autoSpaceDN w:val="0"/>
        <w:adjustRightInd w:val="0"/>
        <w:rPr>
          <w:lang w:val="ru-RU"/>
        </w:rPr>
      </w:pPr>
      <w:r w:rsidRPr="008E5ADC">
        <w:rPr>
          <w:color w:val="000000"/>
          <w:u w:val="single"/>
          <w:lang w:val="ru-RU"/>
        </w:rPr>
        <w:t>Счета капиталов и финансовые счета</w:t>
      </w:r>
      <w:r>
        <w:rPr>
          <w:color w:val="000000"/>
          <w:lang w:val="ru-RU"/>
        </w:rPr>
        <w:t>: Д</w:t>
      </w:r>
      <w:r w:rsidRPr="006B482E">
        <w:rPr>
          <w:color w:val="000000"/>
          <w:lang w:val="ru-RU"/>
        </w:rPr>
        <w:t xml:space="preserve">анные о капитале и финансовых потоках являются ключевыми для мониторинга уязвимости перед потрясениями и ограничениями фискальной и монетарной политики. Финансирование торгового дефицита или других текущих дисбалансов за счет капитала и финансовых потоков является разумным способом достижения сглаживания потребления в странах с развивающейся экономикой. </w:t>
      </w:r>
      <w:r>
        <w:rPr>
          <w:color w:val="000000"/>
          <w:lang w:val="ru-RU"/>
        </w:rPr>
        <w:t>Прямые иностранные инвестиции (</w:t>
      </w:r>
      <w:r w:rsidRPr="006B482E">
        <w:rPr>
          <w:color w:val="000000"/>
          <w:lang w:val="ru-RU"/>
        </w:rPr>
        <w:t>ПИИ</w:t>
      </w:r>
      <w:r>
        <w:rPr>
          <w:color w:val="000000"/>
          <w:lang w:val="ru-RU"/>
        </w:rPr>
        <w:t>)</w:t>
      </w:r>
      <w:r w:rsidRPr="006B482E">
        <w:rPr>
          <w:color w:val="000000"/>
          <w:lang w:val="ru-RU"/>
        </w:rPr>
        <w:t xml:space="preserve"> являются предпочтительным методом финансирования внешнего дефицита счета текущих операций, поскольку эти потоки не создают долгов. Приток</w:t>
      </w:r>
      <w:r>
        <w:rPr>
          <w:color w:val="000000"/>
          <w:lang w:val="ru-RU"/>
        </w:rPr>
        <w:t>и портфельных инвестиций измеряю</w:t>
      </w:r>
      <w:r w:rsidRPr="006B482E">
        <w:rPr>
          <w:color w:val="000000"/>
          <w:lang w:val="ru-RU"/>
        </w:rPr>
        <w:t xml:space="preserve">т </w:t>
      </w:r>
      <w:r>
        <w:rPr>
          <w:color w:val="000000"/>
          <w:lang w:val="ru-RU"/>
        </w:rPr>
        <w:t>открыт</w:t>
      </w:r>
      <w:r w:rsidRPr="006B482E">
        <w:rPr>
          <w:color w:val="000000"/>
          <w:lang w:val="ru-RU"/>
        </w:rPr>
        <w:t>ость иностранных инвесторов рынкам облигаций и акций развивающихся стран.</w:t>
      </w:r>
    </w:p>
    <w:p w14:paraId="635002AA" w14:textId="77777777" w:rsidR="007518BC" w:rsidRPr="006B482E" w:rsidRDefault="007518BC" w:rsidP="007518BC">
      <w:pPr>
        <w:autoSpaceDE w:val="0"/>
        <w:autoSpaceDN w:val="0"/>
        <w:adjustRightInd w:val="0"/>
        <w:rPr>
          <w:color w:val="000000"/>
          <w:lang w:val="ru-RU"/>
        </w:rPr>
      </w:pPr>
      <w:r w:rsidRPr="006B482E">
        <w:rPr>
          <w:color w:val="000000"/>
          <w:lang w:val="ru-RU"/>
        </w:rPr>
        <w:t>Устойчивость платежного баланса зависит как от текущего счета, так и от сальдо</w:t>
      </w:r>
      <w:r>
        <w:rPr>
          <w:color w:val="000000"/>
          <w:lang w:val="ru-RU"/>
        </w:rPr>
        <w:t xml:space="preserve"> счетов капитала и финансовых счетов</w:t>
      </w:r>
      <w:r w:rsidRPr="006B482E">
        <w:rPr>
          <w:color w:val="000000"/>
          <w:lang w:val="ru-RU"/>
        </w:rPr>
        <w:t>, включая резервы в иностранной валюте.</w:t>
      </w:r>
    </w:p>
    <w:p w14:paraId="0F831AF0" w14:textId="77777777" w:rsidR="007518BC" w:rsidRPr="006B482E" w:rsidRDefault="007518BC" w:rsidP="007518BC">
      <w:pPr>
        <w:autoSpaceDE w:val="0"/>
        <w:autoSpaceDN w:val="0"/>
        <w:adjustRightInd w:val="0"/>
        <w:rPr>
          <w:color w:val="000000"/>
          <w:u w:val="single"/>
          <w:lang w:val="ru-RU"/>
        </w:rPr>
      </w:pPr>
      <w:r w:rsidRPr="006B482E">
        <w:rPr>
          <w:color w:val="000000"/>
          <w:lang w:val="ru-RU"/>
        </w:rPr>
        <w:t xml:space="preserve">Внешняя задолженность влияет на кредитоспособность страны и восприятие инвесторов. Не представившие отчет страны могут иметь непогашенный долг перед Всемирным банком, другими международными финансовыми институтами или частными кредиторами. Общее обслуживание долга контрастирует со способностью стран получать иностранную валюту за счет экспорта товаров, услуг, первичного дохода и личных денежных переводов. Коэффициенты долга используются для оценки устойчивости обязательств по обслуживанию долга страны, но </w:t>
      </w:r>
      <w:r>
        <w:rPr>
          <w:color w:val="000000"/>
          <w:lang w:val="ru-RU"/>
        </w:rPr>
        <w:t>нет никаких абсолютных правил, определяющих</w:t>
      </w:r>
      <w:r w:rsidRPr="006B482E">
        <w:rPr>
          <w:color w:val="000000"/>
          <w:lang w:val="ru-RU"/>
        </w:rPr>
        <w:t>, какие значения являются слишком высокими.</w:t>
      </w:r>
    </w:p>
    <w:p w14:paraId="33AD213C" w14:textId="77777777" w:rsidR="007518BC" w:rsidRPr="00775B03" w:rsidRDefault="007518BC" w:rsidP="007518BC">
      <w:pPr>
        <w:autoSpaceDE w:val="0"/>
        <w:autoSpaceDN w:val="0"/>
        <w:adjustRightInd w:val="0"/>
        <w:rPr>
          <w:color w:val="000000"/>
          <w:lang w:val="ru-RU"/>
        </w:rPr>
      </w:pPr>
      <w:r w:rsidRPr="002F04D7">
        <w:rPr>
          <w:color w:val="000000"/>
          <w:u w:val="single"/>
          <w:lang w:val="ru-RU"/>
        </w:rPr>
        <w:t>Валютные курсы</w:t>
      </w:r>
      <w:r w:rsidRPr="006B482E">
        <w:rPr>
          <w:color w:val="000000"/>
          <w:lang w:val="ru-RU"/>
        </w:rPr>
        <w:t>: Резкая девальвация обычно связана со значительным сниже</w:t>
      </w:r>
      <w:r>
        <w:rPr>
          <w:color w:val="000000"/>
          <w:lang w:val="ru-RU"/>
        </w:rPr>
        <w:t>нием на фондовых рынках, потоков капиталов</w:t>
      </w:r>
      <w:r w:rsidRPr="006B482E">
        <w:rPr>
          <w:color w:val="000000"/>
          <w:lang w:val="ru-RU"/>
        </w:rPr>
        <w:t xml:space="preserve"> и резервов. </w:t>
      </w:r>
      <w:r>
        <w:rPr>
          <w:color w:val="000000"/>
          <w:lang w:val="ru-RU"/>
        </w:rPr>
        <w:t>В Едином наборе</w:t>
      </w:r>
      <w:r w:rsidRPr="00775B03">
        <w:rPr>
          <w:color w:val="000000"/>
          <w:lang w:val="ru-RU"/>
        </w:rPr>
        <w:t xml:space="preserve"> будут представлены официальные средние курсы валют</w:t>
      </w:r>
      <w:r>
        <w:rPr>
          <w:color w:val="000000"/>
          <w:lang w:val="ru-RU"/>
        </w:rPr>
        <w:t>.</w:t>
      </w:r>
    </w:p>
    <w:p w14:paraId="13E0CF8B" w14:textId="77777777" w:rsidR="007518BC" w:rsidRPr="001F59ED" w:rsidRDefault="007518BC" w:rsidP="007518BC">
      <w:pPr>
        <w:autoSpaceDE w:val="0"/>
        <w:autoSpaceDN w:val="0"/>
        <w:adjustRightInd w:val="0"/>
        <w:rPr>
          <w:b/>
          <w:color w:val="000000"/>
          <w:lang w:val="ru-RU"/>
        </w:rPr>
      </w:pPr>
      <w:r>
        <w:rPr>
          <w:b/>
          <w:color w:val="000000"/>
          <w:lang w:val="ru-RU"/>
        </w:rPr>
        <w:t>Финансовый</w:t>
      </w:r>
      <w:r w:rsidRPr="001F59ED">
        <w:rPr>
          <w:b/>
          <w:color w:val="000000"/>
          <w:lang w:val="ru-RU"/>
        </w:rPr>
        <w:t xml:space="preserve"> </w:t>
      </w:r>
      <w:r>
        <w:rPr>
          <w:b/>
          <w:color w:val="000000"/>
          <w:lang w:val="ru-RU"/>
        </w:rPr>
        <w:t>сектор</w:t>
      </w:r>
    </w:p>
    <w:p w14:paraId="3286CBAF" w14:textId="77777777" w:rsidR="007518BC" w:rsidRPr="006B482E" w:rsidRDefault="007518BC" w:rsidP="007518BC">
      <w:pPr>
        <w:autoSpaceDE w:val="0"/>
        <w:autoSpaceDN w:val="0"/>
        <w:adjustRightInd w:val="0"/>
        <w:rPr>
          <w:color w:val="000000"/>
          <w:lang w:val="ru-RU"/>
        </w:rPr>
      </w:pPr>
      <w:r w:rsidRPr="006B482E">
        <w:rPr>
          <w:color w:val="000000"/>
          <w:lang w:val="ru-RU"/>
        </w:rPr>
        <w:t>Показатели финансового сектора имеют важное значение для измерения стабильности финансового рынка стран и, в свою очередь, э</w:t>
      </w:r>
      <w:r>
        <w:rPr>
          <w:color w:val="000000"/>
          <w:lang w:val="ru-RU"/>
        </w:rPr>
        <w:t>кономической стабильности стран</w:t>
      </w:r>
      <w:r w:rsidRPr="006B482E">
        <w:rPr>
          <w:color w:val="000000"/>
          <w:lang w:val="ru-RU"/>
        </w:rPr>
        <w:t xml:space="preserve">. Деньги и финансовые счета, которые фиксируют предложение денег, лежат в основе финансовой системы страны. </w:t>
      </w:r>
      <w:r w:rsidRPr="001F59ED">
        <w:rPr>
          <w:color w:val="000000"/>
          <w:lang w:val="ru-RU"/>
        </w:rPr>
        <w:t xml:space="preserve">Существует несколько широко используемых определений денежной массы. </w:t>
      </w:r>
      <w:r w:rsidRPr="006B482E">
        <w:rPr>
          <w:color w:val="000000"/>
          <w:lang w:val="ru-RU"/>
        </w:rPr>
        <w:t xml:space="preserve">Чтобы оценить денежную базу и стабильность, </w:t>
      </w:r>
      <w:r>
        <w:rPr>
          <w:color w:val="000000"/>
          <w:lang w:val="ru-RU"/>
        </w:rPr>
        <w:t>Единый набор</w:t>
      </w:r>
      <w:r w:rsidRPr="006B482E">
        <w:rPr>
          <w:color w:val="000000"/>
          <w:lang w:val="ru-RU"/>
        </w:rPr>
        <w:t xml:space="preserve"> представит </w:t>
      </w:r>
      <w:r>
        <w:rPr>
          <w:color w:val="000000"/>
          <w:lang w:val="ru-RU"/>
        </w:rPr>
        <w:t xml:space="preserve">коэффициенты </w:t>
      </w:r>
      <w:r w:rsidRPr="006B482E">
        <w:rPr>
          <w:color w:val="000000"/>
          <w:lang w:val="ru-RU"/>
        </w:rPr>
        <w:t>рост</w:t>
      </w:r>
      <w:r>
        <w:rPr>
          <w:color w:val="000000"/>
          <w:lang w:val="ru-RU"/>
        </w:rPr>
        <w:t>а широких денег (совокупной денежной массы)</w:t>
      </w:r>
      <w:r w:rsidRPr="006B482E">
        <w:rPr>
          <w:color w:val="000000"/>
          <w:lang w:val="ru-RU"/>
        </w:rPr>
        <w:t xml:space="preserve"> и</w:t>
      </w:r>
      <w:r>
        <w:rPr>
          <w:color w:val="000000"/>
          <w:lang w:val="ru-RU"/>
        </w:rPr>
        <w:t xml:space="preserve"> широких денежных средств от общего объема</w:t>
      </w:r>
      <w:r w:rsidRPr="006B482E">
        <w:rPr>
          <w:color w:val="000000"/>
          <w:lang w:val="ru-RU"/>
        </w:rPr>
        <w:t xml:space="preserve"> резервов. Укрепление финансовых институтов играет очень важную роль в экономических показателях страны. Сила этих </w:t>
      </w:r>
      <w:r>
        <w:rPr>
          <w:color w:val="000000"/>
          <w:lang w:val="ru-RU"/>
        </w:rPr>
        <w:t>институтов</w:t>
      </w:r>
      <w:r w:rsidRPr="006B482E">
        <w:rPr>
          <w:color w:val="000000"/>
          <w:lang w:val="ru-RU"/>
        </w:rPr>
        <w:t xml:space="preserve"> будет оцениваться с помощью коэффициентов капитальных активов банков и </w:t>
      </w:r>
      <w:r>
        <w:rPr>
          <w:color w:val="000000"/>
          <w:lang w:val="ru-RU"/>
        </w:rPr>
        <w:t>необслуживаемых/</w:t>
      </w:r>
      <w:r w:rsidRPr="006B482E">
        <w:rPr>
          <w:color w:val="000000"/>
          <w:lang w:val="ru-RU"/>
        </w:rPr>
        <w:t>неработающих кредитов к общим коэффициентам валовых кредитов.</w:t>
      </w:r>
    </w:p>
    <w:p w14:paraId="7840B749" w14:textId="77777777" w:rsidR="007518BC" w:rsidRPr="001F59ED" w:rsidRDefault="007518BC" w:rsidP="007518BC">
      <w:pPr>
        <w:autoSpaceDE w:val="0"/>
        <w:autoSpaceDN w:val="0"/>
        <w:adjustRightInd w:val="0"/>
        <w:rPr>
          <w:b/>
          <w:color w:val="000000"/>
          <w:lang w:val="ru-RU"/>
        </w:rPr>
      </w:pPr>
      <w:r>
        <w:rPr>
          <w:b/>
          <w:color w:val="000000"/>
          <w:lang w:val="ru-RU"/>
        </w:rPr>
        <w:t>Фискальный</w:t>
      </w:r>
      <w:r w:rsidRPr="001F59ED">
        <w:rPr>
          <w:b/>
          <w:color w:val="000000"/>
          <w:lang w:val="ru-RU"/>
        </w:rPr>
        <w:t xml:space="preserve"> </w:t>
      </w:r>
      <w:r>
        <w:rPr>
          <w:b/>
          <w:color w:val="000000"/>
          <w:lang w:val="ru-RU"/>
        </w:rPr>
        <w:t>сектор</w:t>
      </w:r>
    </w:p>
    <w:p w14:paraId="65C46CFE" w14:textId="77777777" w:rsidR="007518BC" w:rsidRPr="006B482E" w:rsidRDefault="007518BC" w:rsidP="007518BC">
      <w:pPr>
        <w:autoSpaceDE w:val="0"/>
        <w:autoSpaceDN w:val="0"/>
        <w:adjustRightInd w:val="0"/>
        <w:rPr>
          <w:color w:val="000000"/>
          <w:lang w:val="ru-RU"/>
        </w:rPr>
      </w:pPr>
      <w:r w:rsidRPr="006B482E">
        <w:rPr>
          <w:color w:val="000000"/>
          <w:lang w:val="ru-RU"/>
        </w:rPr>
        <w:t>Чтобы страна имела устойчивый путь экономического роста, необходима устойчивая фискальная политика. Для мониторинга вопросов фискальной политики</w:t>
      </w:r>
      <w:r>
        <w:rPr>
          <w:color w:val="000000"/>
          <w:lang w:val="ru-RU"/>
        </w:rPr>
        <w:t>, в Едином наборе</w:t>
      </w:r>
      <w:r w:rsidRPr="006B482E">
        <w:rPr>
          <w:color w:val="000000"/>
          <w:lang w:val="ru-RU"/>
        </w:rPr>
        <w:t xml:space="preserve"> будут отображаться доходы правительства, чтобы измерить влияние экономического роста и изменений цен на сырье. </w:t>
      </w:r>
      <w:r>
        <w:rPr>
          <w:color w:val="000000"/>
          <w:lang w:val="ru-RU"/>
        </w:rPr>
        <w:t>Единый набор</w:t>
      </w:r>
      <w:r w:rsidRPr="006B482E">
        <w:rPr>
          <w:color w:val="000000"/>
          <w:lang w:val="ru-RU"/>
        </w:rPr>
        <w:t xml:space="preserve"> также будет включ</w:t>
      </w:r>
      <w:r>
        <w:rPr>
          <w:color w:val="000000"/>
          <w:lang w:val="ru-RU"/>
        </w:rPr>
        <w:t>ать налоговые поступления, общее бюджетное</w:t>
      </w:r>
      <w:r w:rsidRPr="006B482E">
        <w:rPr>
          <w:color w:val="000000"/>
          <w:lang w:val="ru-RU"/>
        </w:rPr>
        <w:t xml:space="preserve"> </w:t>
      </w:r>
      <w:r>
        <w:rPr>
          <w:color w:val="000000"/>
          <w:lang w:val="ru-RU"/>
        </w:rPr>
        <w:t>сальдо</w:t>
      </w:r>
      <w:r w:rsidRPr="006B482E">
        <w:rPr>
          <w:color w:val="000000"/>
          <w:lang w:val="ru-RU"/>
        </w:rPr>
        <w:t>, государственный долг в процентах от ВВП.</w:t>
      </w:r>
    </w:p>
    <w:p w14:paraId="3B9647AE" w14:textId="77777777" w:rsidR="007518BC" w:rsidRDefault="007518BC" w:rsidP="007518BC">
      <w:pPr>
        <w:autoSpaceDE w:val="0"/>
        <w:autoSpaceDN w:val="0"/>
        <w:adjustRightInd w:val="0"/>
        <w:rPr>
          <w:b/>
          <w:color w:val="000000"/>
          <w:lang w:val="ru-RU"/>
        </w:rPr>
      </w:pPr>
    </w:p>
    <w:p w14:paraId="0F48BE46" w14:textId="77777777" w:rsidR="007518BC" w:rsidRPr="00DC404A" w:rsidRDefault="007518BC" w:rsidP="007518BC">
      <w:pPr>
        <w:autoSpaceDE w:val="0"/>
        <w:autoSpaceDN w:val="0"/>
        <w:adjustRightInd w:val="0"/>
        <w:rPr>
          <w:color w:val="000000"/>
          <w:lang w:val="ru-RU"/>
        </w:rPr>
      </w:pPr>
      <w:r>
        <w:rPr>
          <w:b/>
          <w:color w:val="000000"/>
          <w:lang w:val="ru-RU"/>
        </w:rPr>
        <w:t>Реальный сектор и цены</w:t>
      </w:r>
    </w:p>
    <w:p w14:paraId="74B831A8" w14:textId="77777777" w:rsidR="007518BC" w:rsidRPr="0045402C" w:rsidRDefault="007518BC" w:rsidP="007518BC">
      <w:pPr>
        <w:keepNext/>
        <w:keepLines/>
        <w:autoSpaceDE w:val="0"/>
        <w:autoSpaceDN w:val="0"/>
        <w:adjustRightInd w:val="0"/>
        <w:rPr>
          <w:color w:val="000000"/>
          <w:lang w:val="ru-RU"/>
        </w:rPr>
      </w:pPr>
      <w:r w:rsidRPr="0045402C">
        <w:rPr>
          <w:color w:val="000000"/>
          <w:lang w:val="ru-RU"/>
        </w:rPr>
        <w:t xml:space="preserve">ВВП измеряет общий объем производства товаров и услуг в стране. В течение многих десятилетий это была всеобъемлющая мера рыночной активности, используемая для широкого спектра аналитических целей, таких как измерение производительности, проведение денежно-кредитной политики и прогнозирование налоговых поступлений. </w:t>
      </w:r>
      <w:r>
        <w:rPr>
          <w:color w:val="000000"/>
          <w:lang w:val="ru-RU"/>
        </w:rPr>
        <w:t>Единый набор</w:t>
      </w:r>
      <w:r w:rsidRPr="0045402C">
        <w:rPr>
          <w:color w:val="000000"/>
          <w:lang w:val="ru-RU"/>
        </w:rPr>
        <w:t xml:space="preserve"> группирует </w:t>
      </w:r>
      <w:r>
        <w:rPr>
          <w:color w:val="000000"/>
          <w:lang w:val="ru-RU"/>
        </w:rPr>
        <w:t>показатели</w:t>
      </w:r>
      <w:r w:rsidRPr="0045402C">
        <w:rPr>
          <w:color w:val="000000"/>
          <w:lang w:val="ru-RU"/>
        </w:rPr>
        <w:t xml:space="preserve"> для реального сектора в два набора: национальные счета и цены.</w:t>
      </w:r>
    </w:p>
    <w:p w14:paraId="5955FD01" w14:textId="77777777" w:rsidR="007518BC" w:rsidRPr="0045402C" w:rsidRDefault="007518BC" w:rsidP="007518BC">
      <w:pPr>
        <w:autoSpaceDE w:val="0"/>
        <w:autoSpaceDN w:val="0"/>
        <w:adjustRightInd w:val="0"/>
        <w:rPr>
          <w:color w:val="000000"/>
          <w:lang w:val="ru-RU"/>
        </w:rPr>
      </w:pPr>
      <w:r w:rsidRPr="00BC6841">
        <w:rPr>
          <w:color w:val="000000"/>
          <w:u w:val="single"/>
          <w:lang w:val="ru-RU"/>
        </w:rPr>
        <w:t>Национальные счета</w:t>
      </w:r>
      <w:r w:rsidRPr="0045402C">
        <w:rPr>
          <w:color w:val="000000"/>
          <w:lang w:val="ru-RU"/>
        </w:rPr>
        <w:t xml:space="preserve">. Рост экономики </w:t>
      </w:r>
      <w:r>
        <w:rPr>
          <w:color w:val="000000"/>
          <w:lang w:val="ru-RU"/>
        </w:rPr>
        <w:t xml:space="preserve">страны </w:t>
      </w:r>
      <w:r w:rsidRPr="0045402C">
        <w:rPr>
          <w:color w:val="000000"/>
          <w:lang w:val="ru-RU"/>
        </w:rPr>
        <w:t xml:space="preserve">измеряется изменением объема производства или реальных доходов ее жителей. Система национальных счетов </w:t>
      </w:r>
      <w:r>
        <w:rPr>
          <w:color w:val="000000"/>
          <w:lang w:val="ru-RU"/>
        </w:rPr>
        <w:t>ООН</w:t>
      </w:r>
      <w:r w:rsidRPr="0045402C">
        <w:rPr>
          <w:color w:val="000000"/>
          <w:lang w:val="ru-RU"/>
        </w:rPr>
        <w:t xml:space="preserve"> 2008 года (СНС 2008 года) предлагает три вероятных показателя для расчета роста: объем валового внутреннего продукта (ВВП), реальный валовой внутренний доход и реальный валовой национальный доход. Объем ВВП - это сумма добавленной стоимости, измеряемая в постоянных ценах домашними хозяйствами, правительством и отраслями, действующими в экономике. ВВП учитывает все внутреннее производство, независимо от того, </w:t>
      </w:r>
      <w:r>
        <w:rPr>
          <w:color w:val="000000"/>
          <w:lang w:val="ru-RU"/>
        </w:rPr>
        <w:t>приходится</w:t>
      </w:r>
      <w:r w:rsidRPr="0045402C">
        <w:rPr>
          <w:color w:val="000000"/>
          <w:lang w:val="ru-RU"/>
        </w:rPr>
        <w:t xml:space="preserve"> ли доход </w:t>
      </w:r>
      <w:r>
        <w:rPr>
          <w:color w:val="000000"/>
          <w:lang w:val="ru-RU"/>
        </w:rPr>
        <w:t xml:space="preserve">на </w:t>
      </w:r>
      <w:r w:rsidRPr="0045402C">
        <w:rPr>
          <w:color w:val="000000"/>
          <w:lang w:val="ru-RU"/>
        </w:rPr>
        <w:t>отечественные или иностранные учреждения.</w:t>
      </w:r>
    </w:p>
    <w:p w14:paraId="52D7FCAF" w14:textId="77777777" w:rsidR="007518BC" w:rsidRPr="0045402C" w:rsidRDefault="007518BC" w:rsidP="007518BC">
      <w:pPr>
        <w:autoSpaceDE w:val="0"/>
        <w:autoSpaceDN w:val="0"/>
        <w:adjustRightInd w:val="0"/>
        <w:rPr>
          <w:color w:val="000000"/>
          <w:lang w:val="ru-RU"/>
        </w:rPr>
      </w:pPr>
      <w:r w:rsidRPr="0045402C">
        <w:rPr>
          <w:color w:val="000000"/>
          <w:lang w:val="ru-RU"/>
        </w:rPr>
        <w:t>В этом разделе мы от</w:t>
      </w:r>
      <w:r>
        <w:rPr>
          <w:color w:val="000000"/>
          <w:lang w:val="ru-RU"/>
        </w:rPr>
        <w:t>слеживаем тенденции роста ВВП; ф</w:t>
      </w:r>
      <w:r w:rsidRPr="0045402C">
        <w:rPr>
          <w:color w:val="000000"/>
          <w:lang w:val="ru-RU"/>
        </w:rPr>
        <w:t xml:space="preserve">ормирование </w:t>
      </w:r>
      <w:r>
        <w:rPr>
          <w:color w:val="000000"/>
          <w:lang w:val="ru-RU"/>
        </w:rPr>
        <w:t>валового внутреннего капитала; экспорт товаров и услуг; импорт товаров и услуг; бытовое потребление</w:t>
      </w:r>
      <w:r w:rsidRPr="0045402C">
        <w:rPr>
          <w:color w:val="000000"/>
          <w:lang w:val="ru-RU"/>
        </w:rPr>
        <w:t xml:space="preserve"> и государственное потребление.</w:t>
      </w:r>
    </w:p>
    <w:p w14:paraId="43059FF0" w14:textId="77777777" w:rsidR="007518BC" w:rsidRPr="001F59ED" w:rsidRDefault="007518BC" w:rsidP="007518BC">
      <w:pPr>
        <w:autoSpaceDE w:val="0"/>
        <w:autoSpaceDN w:val="0"/>
        <w:adjustRightInd w:val="0"/>
        <w:rPr>
          <w:color w:val="000000"/>
          <w:u w:val="single"/>
          <w:lang w:val="ru-RU"/>
        </w:rPr>
      </w:pPr>
      <w:r>
        <w:rPr>
          <w:color w:val="000000"/>
          <w:u w:val="single"/>
          <w:lang w:val="ru-RU"/>
        </w:rPr>
        <w:t>Цены</w:t>
      </w:r>
      <w:r w:rsidRPr="001F59ED">
        <w:rPr>
          <w:color w:val="000000"/>
          <w:u w:val="single"/>
          <w:lang w:val="ru-RU"/>
        </w:rPr>
        <w:t xml:space="preserve">: </w:t>
      </w:r>
    </w:p>
    <w:p w14:paraId="49D59646" w14:textId="77777777" w:rsidR="007518BC" w:rsidRPr="0045402C" w:rsidRDefault="007518BC" w:rsidP="007518BC">
      <w:pPr>
        <w:autoSpaceDE w:val="0"/>
        <w:autoSpaceDN w:val="0"/>
        <w:adjustRightInd w:val="0"/>
        <w:ind w:left="720"/>
        <w:rPr>
          <w:color w:val="000000"/>
          <w:lang w:val="ru-RU"/>
        </w:rPr>
      </w:pPr>
      <w:r w:rsidRPr="00727235">
        <w:rPr>
          <w:color w:val="000000"/>
          <w:u w:val="single"/>
          <w:lang w:val="ru-RU"/>
        </w:rPr>
        <w:t>Индекс потребительских цен</w:t>
      </w:r>
      <w:r w:rsidRPr="0045402C">
        <w:rPr>
          <w:color w:val="000000"/>
          <w:lang w:val="ru-RU"/>
        </w:rPr>
        <w:t xml:space="preserve">: </w:t>
      </w:r>
      <w:r>
        <w:rPr>
          <w:color w:val="000000"/>
          <w:lang w:val="ru-RU"/>
        </w:rPr>
        <w:t>Единый набор</w:t>
      </w:r>
      <w:r w:rsidRPr="0045402C">
        <w:rPr>
          <w:color w:val="000000"/>
          <w:lang w:val="ru-RU"/>
        </w:rPr>
        <w:t xml:space="preserve"> будет </w:t>
      </w:r>
      <w:r>
        <w:rPr>
          <w:color w:val="000000"/>
          <w:lang w:val="ru-RU"/>
        </w:rPr>
        <w:t>включать</w:t>
      </w:r>
      <w:r w:rsidRPr="0045402C">
        <w:rPr>
          <w:color w:val="000000"/>
          <w:lang w:val="ru-RU"/>
        </w:rPr>
        <w:t xml:space="preserve"> </w:t>
      </w:r>
      <w:r>
        <w:rPr>
          <w:color w:val="000000"/>
          <w:lang w:val="ru-RU"/>
        </w:rPr>
        <w:t>индекс потребительских цен (</w:t>
      </w:r>
      <w:r w:rsidRPr="0045402C">
        <w:rPr>
          <w:color w:val="000000"/>
          <w:lang w:val="ru-RU"/>
        </w:rPr>
        <w:t>ИПЦ</w:t>
      </w:r>
      <w:r>
        <w:rPr>
          <w:color w:val="000000"/>
          <w:lang w:val="ru-RU"/>
        </w:rPr>
        <w:t>)</w:t>
      </w:r>
      <w:r w:rsidRPr="0045402C">
        <w:rPr>
          <w:color w:val="000000"/>
          <w:lang w:val="ru-RU"/>
        </w:rPr>
        <w:t xml:space="preserve"> для </w:t>
      </w:r>
      <w:r>
        <w:rPr>
          <w:color w:val="000000"/>
          <w:lang w:val="ru-RU"/>
        </w:rPr>
        <w:t>мониторинга</w:t>
      </w:r>
      <w:r w:rsidRPr="0045402C">
        <w:rPr>
          <w:color w:val="000000"/>
          <w:lang w:val="ru-RU"/>
        </w:rPr>
        <w:t xml:space="preserve"> ценовых тенденций.</w:t>
      </w:r>
    </w:p>
    <w:p w14:paraId="21F2DE56" w14:textId="77777777" w:rsidR="007518BC" w:rsidRPr="0045402C" w:rsidRDefault="007518BC" w:rsidP="007518BC">
      <w:pPr>
        <w:autoSpaceDE w:val="0"/>
        <w:autoSpaceDN w:val="0"/>
        <w:adjustRightInd w:val="0"/>
        <w:ind w:left="720"/>
        <w:rPr>
          <w:color w:val="000000"/>
          <w:lang w:val="ru-RU"/>
        </w:rPr>
      </w:pPr>
      <w:r w:rsidRPr="004F1D99">
        <w:rPr>
          <w:color w:val="000000"/>
          <w:u w:val="single"/>
          <w:lang w:val="ru-RU"/>
        </w:rPr>
        <w:t xml:space="preserve">Международные цены на </w:t>
      </w:r>
      <w:r>
        <w:rPr>
          <w:color w:val="000000"/>
          <w:u w:val="single"/>
          <w:lang w:val="ru-RU"/>
        </w:rPr>
        <w:t>товарно-</w:t>
      </w:r>
      <w:r w:rsidRPr="004F1D99">
        <w:rPr>
          <w:color w:val="000000"/>
          <w:u w:val="single"/>
          <w:lang w:val="ru-RU"/>
        </w:rPr>
        <w:t>сырье</w:t>
      </w:r>
      <w:r>
        <w:rPr>
          <w:color w:val="000000"/>
          <w:u w:val="single"/>
          <w:lang w:val="ru-RU"/>
        </w:rPr>
        <w:t>вые ресурсы</w:t>
      </w:r>
      <w:r w:rsidRPr="0045402C">
        <w:rPr>
          <w:color w:val="000000"/>
          <w:lang w:val="ru-RU"/>
        </w:rPr>
        <w:t xml:space="preserve">: будут определены основные товары, наиболее </w:t>
      </w:r>
      <w:r>
        <w:rPr>
          <w:color w:val="000000"/>
          <w:lang w:val="ru-RU"/>
        </w:rPr>
        <w:t>актуальные для каждой страны</w:t>
      </w:r>
      <w:r w:rsidRPr="0045402C">
        <w:rPr>
          <w:color w:val="000000"/>
          <w:lang w:val="ru-RU"/>
        </w:rPr>
        <w:t>, и самые послед</w:t>
      </w:r>
      <w:r>
        <w:rPr>
          <w:color w:val="000000"/>
          <w:lang w:val="ru-RU"/>
        </w:rPr>
        <w:t>ние данные о ценах на эти товарно-сырьевые ресурсы</w:t>
      </w:r>
      <w:r w:rsidRPr="0045402C">
        <w:rPr>
          <w:color w:val="000000"/>
          <w:lang w:val="ru-RU"/>
        </w:rPr>
        <w:t xml:space="preserve"> будут включен</w:t>
      </w:r>
      <w:r>
        <w:rPr>
          <w:color w:val="000000"/>
          <w:lang w:val="ru-RU"/>
        </w:rPr>
        <w:t>ы в предлагаемый</w:t>
      </w:r>
      <w:r w:rsidRPr="0045402C">
        <w:rPr>
          <w:color w:val="000000"/>
          <w:lang w:val="ru-RU"/>
        </w:rPr>
        <w:t xml:space="preserve"> </w:t>
      </w:r>
      <w:r>
        <w:rPr>
          <w:color w:val="000000"/>
          <w:lang w:val="ru-RU"/>
        </w:rPr>
        <w:t>Единый набор контрольных макроэкономических показателей</w:t>
      </w:r>
      <w:r w:rsidRPr="0045402C">
        <w:rPr>
          <w:color w:val="000000"/>
          <w:lang w:val="ru-RU"/>
        </w:rPr>
        <w:t>.</w:t>
      </w:r>
    </w:p>
    <w:p w14:paraId="7D485A16" w14:textId="77777777" w:rsidR="007518BC" w:rsidRPr="001F59ED" w:rsidRDefault="007518BC" w:rsidP="007518BC">
      <w:pPr>
        <w:autoSpaceDE w:val="0"/>
        <w:autoSpaceDN w:val="0"/>
        <w:adjustRightInd w:val="0"/>
        <w:rPr>
          <w:color w:val="000000"/>
          <w:lang w:val="ru-RU"/>
        </w:rPr>
      </w:pPr>
      <w:r>
        <w:rPr>
          <w:b/>
          <w:color w:val="000000"/>
          <w:lang w:val="ru-RU"/>
        </w:rPr>
        <w:t>Безработица</w:t>
      </w:r>
    </w:p>
    <w:p w14:paraId="5BB4FDD2" w14:textId="77777777" w:rsidR="007518BC" w:rsidRPr="0045402C" w:rsidRDefault="007518BC" w:rsidP="007518BC">
      <w:pPr>
        <w:rPr>
          <w:rFonts w:ascii="Verdana" w:eastAsia="Times New Roman" w:hAnsi="Verdana" w:cs="Calibri"/>
          <w:sz w:val="16"/>
          <w:szCs w:val="16"/>
          <w:lang w:val="ru-RU"/>
        </w:rPr>
      </w:pPr>
      <w:r w:rsidRPr="0045402C">
        <w:rPr>
          <w:color w:val="000000"/>
          <w:lang w:val="ru-RU"/>
        </w:rPr>
        <w:t xml:space="preserve">Безработица является ключевой мерой для мониторинга того, находится ли страна на пути к достижению Цели устойчивого развития, заключающейся в содействии </w:t>
      </w:r>
      <w:r>
        <w:rPr>
          <w:color w:val="000000"/>
          <w:lang w:val="ru-RU"/>
        </w:rPr>
        <w:t>продолжительному</w:t>
      </w:r>
      <w:r w:rsidRPr="0045402C">
        <w:rPr>
          <w:color w:val="000000"/>
          <w:lang w:val="ru-RU"/>
        </w:rPr>
        <w:t xml:space="preserve">, инклюзивному и устойчивому экономическому росту, полной и продуктивной занятости и достойной работе для всех. [Показатель ЦУР 8.5.2]. Тенденции в данных по уровню безработицы являются очень важным </w:t>
      </w:r>
      <w:r>
        <w:rPr>
          <w:color w:val="000000"/>
          <w:lang w:val="ru-RU"/>
        </w:rPr>
        <w:t>показателе</w:t>
      </w:r>
      <w:r w:rsidRPr="0045402C">
        <w:rPr>
          <w:color w:val="000000"/>
          <w:lang w:val="ru-RU"/>
        </w:rPr>
        <w:t xml:space="preserve">м для анализа долгосрочного экономического развития страны. Более сильный и устойчивый экономический рост приведет к снижению уровня безработицы. </w:t>
      </w:r>
      <w:r>
        <w:rPr>
          <w:color w:val="000000"/>
          <w:lang w:val="ru-RU"/>
        </w:rPr>
        <w:t>Единый набор</w:t>
      </w:r>
      <w:r w:rsidRPr="0045402C">
        <w:rPr>
          <w:color w:val="000000"/>
          <w:lang w:val="ru-RU"/>
        </w:rPr>
        <w:t xml:space="preserve"> будет включать данные </w:t>
      </w:r>
      <w:r>
        <w:rPr>
          <w:color w:val="000000"/>
          <w:lang w:val="ru-RU"/>
        </w:rPr>
        <w:t>динамических</w:t>
      </w:r>
      <w:r w:rsidRPr="0045402C">
        <w:rPr>
          <w:color w:val="000000"/>
          <w:lang w:val="ru-RU"/>
        </w:rPr>
        <w:t xml:space="preserve"> рядов по общей безработице.</w:t>
      </w:r>
      <w:r w:rsidRPr="0045402C">
        <w:rPr>
          <w:rFonts w:ascii="Verdana" w:eastAsia="Times New Roman" w:hAnsi="Verdana" w:cs="Calibri"/>
          <w:sz w:val="16"/>
          <w:szCs w:val="16"/>
          <w:lang w:val="ru-RU"/>
        </w:rPr>
        <w:br/>
      </w:r>
    </w:p>
    <w:p w14:paraId="497A36A2" w14:textId="77777777" w:rsidR="007518BC" w:rsidRPr="0045402C" w:rsidRDefault="007518BC" w:rsidP="007518BC">
      <w:pPr>
        <w:rPr>
          <w:color w:val="000000"/>
          <w:lang w:val="ru-RU"/>
        </w:rPr>
      </w:pPr>
      <w:r w:rsidRPr="0045402C">
        <w:rPr>
          <w:color w:val="000000"/>
          <w:lang w:val="ru-RU"/>
        </w:rPr>
        <w:br w:type="page"/>
      </w:r>
    </w:p>
    <w:p w14:paraId="708EBA6B" w14:textId="77777777" w:rsidR="007518BC" w:rsidRPr="00D307BE" w:rsidRDefault="007518BC" w:rsidP="007518BC">
      <w:pPr>
        <w:autoSpaceDE w:val="0"/>
        <w:autoSpaceDN w:val="0"/>
        <w:adjustRightInd w:val="0"/>
        <w:rPr>
          <w:b/>
          <w:color w:val="000000"/>
          <w:lang w:val="ru-RU"/>
        </w:rPr>
      </w:pPr>
      <w:r>
        <w:rPr>
          <w:b/>
          <w:color w:val="000000"/>
          <w:lang w:val="ru-RU"/>
        </w:rPr>
        <w:lastRenderedPageBreak/>
        <w:t>Приложение</w:t>
      </w:r>
      <w:r w:rsidRPr="00D307BE">
        <w:rPr>
          <w:b/>
          <w:color w:val="000000"/>
          <w:lang w:val="ru-RU"/>
        </w:rPr>
        <w:t xml:space="preserve"> </w:t>
      </w:r>
      <w:r w:rsidRPr="00144A50">
        <w:rPr>
          <w:b/>
          <w:color w:val="000000"/>
        </w:rPr>
        <w:t>I</w:t>
      </w:r>
      <w:r w:rsidRPr="00D307BE">
        <w:rPr>
          <w:b/>
          <w:color w:val="000000"/>
          <w:lang w:val="ru-RU"/>
        </w:rPr>
        <w:t xml:space="preserve"> </w:t>
      </w:r>
      <w:r>
        <w:rPr>
          <w:b/>
          <w:color w:val="000000"/>
          <w:lang w:val="ru-RU"/>
        </w:rPr>
        <w:t>Определения</w:t>
      </w:r>
      <w:r w:rsidRPr="00D307BE">
        <w:rPr>
          <w:b/>
          <w:color w:val="000000"/>
          <w:lang w:val="ru-RU"/>
        </w:rPr>
        <w:t xml:space="preserve"> </w:t>
      </w:r>
    </w:p>
    <w:p w14:paraId="2E928558" w14:textId="77777777" w:rsidR="007518BC" w:rsidRPr="00A37B3A" w:rsidRDefault="007518BC" w:rsidP="007518BC">
      <w:pPr>
        <w:autoSpaceDE w:val="0"/>
        <w:autoSpaceDN w:val="0"/>
        <w:adjustRightInd w:val="0"/>
        <w:rPr>
          <w:b/>
          <w:color w:val="000000"/>
          <w:u w:val="single"/>
          <w:lang w:val="ru-RU"/>
        </w:rPr>
      </w:pPr>
      <w:r w:rsidRPr="00D307BE">
        <w:rPr>
          <w:b/>
          <w:color w:val="000000"/>
          <w:lang w:val="ru-RU"/>
        </w:rPr>
        <w:t xml:space="preserve">   </w:t>
      </w:r>
      <w:r w:rsidRPr="00D307BE">
        <w:rPr>
          <w:b/>
          <w:color w:val="000000"/>
          <w:lang w:val="ru-RU"/>
        </w:rPr>
        <w:br/>
      </w:r>
      <w:r>
        <w:rPr>
          <w:b/>
          <w:color w:val="000000"/>
          <w:u w:val="single"/>
          <w:lang w:val="ru-RU"/>
        </w:rPr>
        <w:t>Внешний сектор</w:t>
      </w:r>
    </w:p>
    <w:p w14:paraId="46125F27" w14:textId="77777777" w:rsidR="007518BC" w:rsidRPr="00FE21F2" w:rsidRDefault="007518BC" w:rsidP="007518BC">
      <w:pPr>
        <w:autoSpaceDE w:val="0"/>
        <w:autoSpaceDN w:val="0"/>
        <w:adjustRightInd w:val="0"/>
        <w:rPr>
          <w:b/>
          <w:color w:val="000000"/>
          <w:lang w:val="ru-RU"/>
        </w:rPr>
      </w:pPr>
      <w:r w:rsidRPr="00D307BE">
        <w:rPr>
          <w:b/>
          <w:color w:val="000000"/>
          <w:lang w:val="ru-RU"/>
        </w:rPr>
        <w:t>Товарная торговля (% от ВВП):</w:t>
      </w:r>
      <w:r w:rsidRPr="00FE21F2">
        <w:rPr>
          <w:color w:val="000000"/>
          <w:lang w:val="ru-RU"/>
        </w:rPr>
        <w:t xml:space="preserve"> этот показатель используется для измерения открытости торговли страны. Товарная торговля как доля ВВП - это сумма экспорта и импорта товаров, деленная на </w:t>
      </w:r>
      <w:r>
        <w:rPr>
          <w:color w:val="000000"/>
          <w:lang w:val="ru-RU"/>
        </w:rPr>
        <w:t>значение</w:t>
      </w:r>
      <w:r w:rsidRPr="00FE21F2">
        <w:rPr>
          <w:color w:val="000000"/>
          <w:lang w:val="ru-RU"/>
        </w:rPr>
        <w:t xml:space="preserve"> ВВП. </w:t>
      </w:r>
      <w:r w:rsidRPr="001F59ED">
        <w:rPr>
          <w:color w:val="000000"/>
          <w:lang w:val="ru-RU"/>
        </w:rPr>
        <w:t>Источник: (оценки ВВП Всемирной торговой организации и Всемирного банка).</w:t>
      </w:r>
      <w:r w:rsidRPr="001F59ED">
        <w:rPr>
          <w:b/>
          <w:color w:val="000000"/>
          <w:lang w:val="ru-RU"/>
        </w:rPr>
        <w:br/>
      </w:r>
      <w:r w:rsidRPr="001F59ED">
        <w:rPr>
          <w:b/>
          <w:color w:val="000000"/>
          <w:lang w:val="ru-RU"/>
        </w:rPr>
        <w:br/>
      </w:r>
      <w:r w:rsidRPr="00D307BE">
        <w:rPr>
          <w:b/>
          <w:color w:val="000000"/>
          <w:lang w:val="ru-RU"/>
        </w:rPr>
        <w:t>Личные денежные переводы, полученные</w:t>
      </w:r>
      <w:r w:rsidRPr="00FE21F2">
        <w:rPr>
          <w:color w:val="000000"/>
          <w:lang w:val="ru-RU"/>
        </w:rPr>
        <w:t xml:space="preserve"> </w:t>
      </w:r>
      <w:r w:rsidRPr="00D307BE">
        <w:rPr>
          <w:b/>
          <w:color w:val="000000"/>
          <w:lang w:val="ru-RU"/>
        </w:rPr>
        <w:t>(% от ВВП):</w:t>
      </w:r>
      <w:r w:rsidRPr="00FE21F2">
        <w:rPr>
          <w:color w:val="000000"/>
          <w:lang w:val="ru-RU"/>
        </w:rPr>
        <w:t xml:space="preserve"> </w:t>
      </w:r>
      <w:r>
        <w:rPr>
          <w:color w:val="000000"/>
          <w:lang w:val="ru-RU"/>
        </w:rPr>
        <w:t>Состоят из</w:t>
      </w:r>
      <w:r w:rsidRPr="00FE21F2">
        <w:rPr>
          <w:color w:val="000000"/>
          <w:lang w:val="ru-RU"/>
        </w:rPr>
        <w:t xml:space="preserve"> ли</w:t>
      </w:r>
      <w:r>
        <w:rPr>
          <w:color w:val="000000"/>
          <w:lang w:val="ru-RU"/>
        </w:rPr>
        <w:t>чных переводов</w:t>
      </w:r>
      <w:r w:rsidRPr="00FE21F2">
        <w:rPr>
          <w:color w:val="000000"/>
          <w:lang w:val="ru-RU"/>
        </w:rPr>
        <w:t xml:space="preserve"> и </w:t>
      </w:r>
      <w:r>
        <w:rPr>
          <w:color w:val="000000"/>
          <w:lang w:val="ru-RU"/>
        </w:rPr>
        <w:t>оплаты</w:t>
      </w:r>
      <w:r w:rsidRPr="00FE21F2">
        <w:rPr>
          <w:color w:val="000000"/>
          <w:lang w:val="ru-RU"/>
        </w:rPr>
        <w:t xml:space="preserve"> </w:t>
      </w:r>
      <w:r>
        <w:rPr>
          <w:color w:val="000000"/>
          <w:lang w:val="ru-RU"/>
        </w:rPr>
        <w:t xml:space="preserve">труда </w:t>
      </w:r>
      <w:r w:rsidRPr="00FE21F2">
        <w:rPr>
          <w:color w:val="000000"/>
          <w:lang w:val="ru-RU"/>
        </w:rPr>
        <w:t>работни</w:t>
      </w:r>
      <w:r>
        <w:rPr>
          <w:color w:val="000000"/>
          <w:lang w:val="ru-RU"/>
        </w:rPr>
        <w:t>ков, как это определено в шестой</w:t>
      </w:r>
      <w:r w:rsidRPr="00FE21F2">
        <w:rPr>
          <w:color w:val="000000"/>
          <w:lang w:val="ru-RU"/>
        </w:rPr>
        <w:t xml:space="preserve"> </w:t>
      </w:r>
      <w:r>
        <w:rPr>
          <w:color w:val="000000"/>
          <w:lang w:val="ru-RU"/>
        </w:rPr>
        <w:t>редакц</w:t>
      </w:r>
      <w:r w:rsidRPr="00FE21F2">
        <w:rPr>
          <w:color w:val="000000"/>
          <w:lang w:val="ru-RU"/>
        </w:rPr>
        <w:t xml:space="preserve">ии Руководства МВФ по платежному балансу. Персональные переводы включают все текущие переводы в денежной или натуральной форме, сделанные или полученные домохозяйствами-резидентами в домохозяйства-нерезиденты или из них. Таким образом, личные переводы включают все текущие переводы между </w:t>
      </w:r>
      <w:r>
        <w:rPr>
          <w:color w:val="000000"/>
          <w:lang w:val="ru-RU"/>
        </w:rPr>
        <w:t>лицами-</w:t>
      </w:r>
      <w:r w:rsidRPr="00FE21F2">
        <w:rPr>
          <w:color w:val="000000"/>
          <w:lang w:val="ru-RU"/>
        </w:rPr>
        <w:t>резидентами и нерезидентами.</w:t>
      </w:r>
      <w:r>
        <w:rPr>
          <w:color w:val="000000"/>
          <w:lang w:val="ru-RU"/>
        </w:rPr>
        <w:t xml:space="preserve"> </w:t>
      </w:r>
      <w:r w:rsidRPr="00FE21F2">
        <w:rPr>
          <w:color w:val="000000"/>
          <w:lang w:val="ru-RU"/>
        </w:rPr>
        <w:t>Оплата труда работников относится к доходам приграничных, сезонных и других краткосрочных работников, которые заняты в экономике</w:t>
      </w:r>
      <w:r>
        <w:rPr>
          <w:color w:val="000000"/>
          <w:lang w:val="ru-RU"/>
        </w:rPr>
        <w:t xml:space="preserve"> страны</w:t>
      </w:r>
      <w:r w:rsidRPr="00FE21F2">
        <w:rPr>
          <w:color w:val="000000"/>
          <w:lang w:val="ru-RU"/>
        </w:rPr>
        <w:t>, где они не являются резидентами, и резидентов, нанятых нерезидентными организациями. Источник: (оценки персонала Всемирного банка на основе данных платежного баланса МВФ и оценок ВВП Всемирного банка и ОЭСР).</w:t>
      </w:r>
    </w:p>
    <w:p w14:paraId="49D9415F" w14:textId="77777777" w:rsidR="007518BC" w:rsidRPr="00FE21F2" w:rsidRDefault="007518BC" w:rsidP="007518BC">
      <w:pPr>
        <w:autoSpaceDE w:val="0"/>
        <w:autoSpaceDN w:val="0"/>
        <w:adjustRightInd w:val="0"/>
        <w:rPr>
          <w:color w:val="000000"/>
          <w:lang w:val="ru-RU"/>
        </w:rPr>
      </w:pPr>
      <w:r>
        <w:rPr>
          <w:b/>
          <w:color w:val="000000"/>
          <w:lang w:val="ru-RU"/>
        </w:rPr>
        <w:t>Сальдо</w:t>
      </w:r>
      <w:r w:rsidRPr="000601BE">
        <w:rPr>
          <w:b/>
          <w:color w:val="000000"/>
          <w:lang w:val="ru-RU"/>
        </w:rPr>
        <w:t xml:space="preserve"> </w:t>
      </w:r>
      <w:r>
        <w:rPr>
          <w:b/>
          <w:color w:val="000000"/>
          <w:lang w:val="ru-RU"/>
        </w:rPr>
        <w:t>по текущему счету</w:t>
      </w:r>
      <w:r w:rsidRPr="000601BE">
        <w:rPr>
          <w:b/>
          <w:color w:val="000000"/>
          <w:lang w:val="ru-RU"/>
        </w:rPr>
        <w:t xml:space="preserve"> (% от ВВП)</w:t>
      </w:r>
      <w:r>
        <w:rPr>
          <w:color w:val="000000"/>
          <w:lang w:val="ru-RU"/>
        </w:rPr>
        <w:t>:</w:t>
      </w:r>
      <w:r w:rsidRPr="00FE21F2">
        <w:rPr>
          <w:color w:val="000000"/>
          <w:lang w:val="ru-RU"/>
        </w:rPr>
        <w:t xml:space="preserve"> </w:t>
      </w:r>
      <w:r>
        <w:rPr>
          <w:color w:val="000000"/>
          <w:lang w:val="ru-RU"/>
        </w:rPr>
        <w:t>Сальдо</w:t>
      </w:r>
      <w:r w:rsidRPr="00FE21F2">
        <w:rPr>
          <w:color w:val="000000"/>
          <w:lang w:val="ru-RU"/>
        </w:rPr>
        <w:t xml:space="preserve"> </w:t>
      </w:r>
      <w:r>
        <w:rPr>
          <w:color w:val="000000"/>
          <w:lang w:val="ru-RU"/>
        </w:rPr>
        <w:t>по текущему счету</w:t>
      </w:r>
      <w:r w:rsidRPr="00FE21F2">
        <w:rPr>
          <w:color w:val="000000"/>
          <w:lang w:val="ru-RU"/>
        </w:rPr>
        <w:t xml:space="preserve"> - это сумма чистого экспорта товаров и услуг, чистого первичного дохода и чистого вторичного дохода. Источник: (Международный валютный фонд, Ежегодник статистики платежного баланса и файлы данных и оценки ВВП Всемирного банка и ОЭСР).</w:t>
      </w:r>
    </w:p>
    <w:p w14:paraId="2EADAA10" w14:textId="77777777" w:rsidR="007518BC" w:rsidRPr="00FE21F2" w:rsidRDefault="007518BC" w:rsidP="007518BC">
      <w:pPr>
        <w:autoSpaceDE w:val="0"/>
        <w:autoSpaceDN w:val="0"/>
        <w:adjustRightInd w:val="0"/>
        <w:rPr>
          <w:color w:val="000000"/>
          <w:lang w:val="ru-RU"/>
        </w:rPr>
      </w:pPr>
      <w:r w:rsidRPr="00E05F6D">
        <w:rPr>
          <w:b/>
          <w:color w:val="000000"/>
          <w:lang w:val="ru-RU"/>
        </w:rPr>
        <w:t>Прямые иностранные инвестиции, чистый приток (% от ВВП)</w:t>
      </w:r>
      <w:r w:rsidRPr="00FE21F2">
        <w:rPr>
          <w:color w:val="000000"/>
          <w:lang w:val="ru-RU"/>
        </w:rPr>
        <w:t>: включает чистый приток прямых иностранных инвестиций для приобретения долгосрочной доли участия в управлении (10 или более процентов голосующих акций) в предприятии, работающем в экономике, отличной от экономики инвестора. ПИИ - это сумма собственного капитала, реинвестирования прибыли, другого долгосрочного капитала и краткосрочного капитала, как показано в платежном балансе. В этой серии показаны чистые притоки (притоки новых инвестиций за вычетом сокращения инвестиций) в отчетную экономик</w:t>
      </w:r>
      <w:r>
        <w:rPr>
          <w:color w:val="000000"/>
          <w:lang w:val="ru-RU"/>
        </w:rPr>
        <w:t xml:space="preserve">у от иностранных инвесторов, </w:t>
      </w:r>
      <w:r w:rsidRPr="00FE21F2">
        <w:rPr>
          <w:color w:val="000000"/>
          <w:lang w:val="ru-RU"/>
        </w:rPr>
        <w:t>деленные на ВВП. Источник: (Международный валютный фонд, базы данных Международной финансовой статистики и платежного баланса, Всемирный банк, Статистика международного долга и оценки ВВП Всемирного банка и ОЭСР).</w:t>
      </w:r>
    </w:p>
    <w:p w14:paraId="5761E567" w14:textId="77777777" w:rsidR="007518BC" w:rsidRPr="00FE21F2" w:rsidRDefault="007518BC" w:rsidP="007518BC">
      <w:pPr>
        <w:autoSpaceDE w:val="0"/>
        <w:autoSpaceDN w:val="0"/>
        <w:adjustRightInd w:val="0"/>
        <w:rPr>
          <w:color w:val="000000"/>
          <w:lang w:val="ru-RU"/>
        </w:rPr>
      </w:pPr>
      <w:r w:rsidRPr="005A66EA">
        <w:rPr>
          <w:b/>
          <w:color w:val="000000"/>
          <w:lang w:val="ru-RU"/>
        </w:rPr>
        <w:t xml:space="preserve">Портфельные инвестиции, чистые (платежный баланс, текущие цены в долл. США): </w:t>
      </w:r>
      <w:r w:rsidRPr="00FE21F2">
        <w:rPr>
          <w:color w:val="000000"/>
          <w:lang w:val="ru-RU"/>
        </w:rPr>
        <w:t>Портфельные инвестиции охватывают операции с долевыми и долговыми ценными бумагами. Данные приведены в долларах США. Источник: (Международный валютный фонд, Ежегодник статистики платежного баланса и файлы данных).</w:t>
      </w:r>
    </w:p>
    <w:p w14:paraId="61AA8618" w14:textId="77777777" w:rsidR="007518BC" w:rsidRPr="00FE21F2" w:rsidRDefault="007518BC" w:rsidP="007518BC">
      <w:pPr>
        <w:autoSpaceDE w:val="0"/>
        <w:autoSpaceDN w:val="0"/>
        <w:adjustRightInd w:val="0"/>
        <w:rPr>
          <w:color w:val="000000"/>
          <w:lang w:val="ru-RU"/>
        </w:rPr>
      </w:pPr>
      <w:r w:rsidRPr="00FB204F">
        <w:rPr>
          <w:b/>
          <w:color w:val="000000"/>
          <w:lang w:val="ru-RU"/>
        </w:rPr>
        <w:t>Общие резервы в месяцах импорта</w:t>
      </w:r>
      <w:r w:rsidRPr="00FE21F2">
        <w:rPr>
          <w:color w:val="000000"/>
          <w:lang w:val="ru-RU"/>
        </w:rPr>
        <w:t xml:space="preserve">: Общие резервы включают запасы монетарного золота, специальные права заимствования, резервы членов МВФ, удерживаемые МВФ, и запасы иностранной валюты под контролем монетарных властей. Золотая составляющая этих запасов оценивается по лондонским ценам на конец </w:t>
      </w:r>
      <w:r>
        <w:rPr>
          <w:color w:val="000000"/>
          <w:lang w:val="ru-RU"/>
        </w:rPr>
        <w:t>года</w:t>
      </w:r>
      <w:r w:rsidRPr="00FE21F2">
        <w:rPr>
          <w:color w:val="000000"/>
          <w:lang w:val="ru-RU"/>
        </w:rPr>
        <w:t xml:space="preserve"> (31 декабря). В этой статье показаны резервы, выраженные в виде количества месяцев импорта товаров и услуг, за которые </w:t>
      </w:r>
      <w:r>
        <w:rPr>
          <w:color w:val="000000"/>
          <w:lang w:val="ru-RU"/>
        </w:rPr>
        <w:t xml:space="preserve">они могли бы </w:t>
      </w:r>
      <w:r>
        <w:rPr>
          <w:color w:val="000000"/>
          <w:lang w:val="ru-RU"/>
        </w:rPr>
        <w:lastRenderedPageBreak/>
        <w:t>заплатить [Резервы/(Импорт/</w:t>
      </w:r>
      <w:r w:rsidRPr="00FE21F2">
        <w:rPr>
          <w:color w:val="000000"/>
          <w:lang w:val="ru-RU"/>
        </w:rPr>
        <w:t>12)]. Источник: (Международный валютный фонд, Международная финансовая статистика и файлы данных).</w:t>
      </w:r>
    </w:p>
    <w:p w14:paraId="65E73337" w14:textId="77777777" w:rsidR="007518BC" w:rsidRPr="00C66223" w:rsidRDefault="007518BC" w:rsidP="007518BC">
      <w:pPr>
        <w:autoSpaceDE w:val="0"/>
        <w:autoSpaceDN w:val="0"/>
        <w:adjustRightInd w:val="0"/>
        <w:rPr>
          <w:b/>
          <w:color w:val="000000"/>
          <w:lang w:val="ru-RU"/>
        </w:rPr>
      </w:pPr>
      <w:r w:rsidRPr="00982E24">
        <w:rPr>
          <w:b/>
          <w:color w:val="000000"/>
          <w:lang w:val="ru-RU"/>
        </w:rPr>
        <w:t xml:space="preserve">Обслуживание долга (только </w:t>
      </w:r>
      <w:r>
        <w:rPr>
          <w:b/>
          <w:color w:val="000000"/>
          <w:lang w:val="ru-RU"/>
        </w:rPr>
        <w:t>государственный долг и гарантированный государством долг</w:t>
      </w:r>
      <w:r w:rsidRPr="00982E24">
        <w:rPr>
          <w:b/>
          <w:color w:val="000000"/>
          <w:lang w:val="ru-RU"/>
        </w:rPr>
        <w:t xml:space="preserve"> и МВФ,</w:t>
      </w:r>
      <w:r>
        <w:rPr>
          <w:b/>
          <w:color w:val="000000"/>
          <w:lang w:val="ru-RU"/>
        </w:rPr>
        <w:t xml:space="preserve"> </w:t>
      </w:r>
      <w:r w:rsidRPr="00982E24">
        <w:rPr>
          <w:b/>
          <w:color w:val="000000"/>
          <w:lang w:val="ru-RU"/>
        </w:rPr>
        <w:t>% от экспорта товаров, услуг и первичного дохода)</w:t>
      </w:r>
      <w:r w:rsidRPr="00FE21F2">
        <w:rPr>
          <w:color w:val="000000"/>
          <w:lang w:val="ru-RU"/>
        </w:rPr>
        <w:t>: Обслуживание долга представляет собой сумму основных выплат и процентов, фактически уплаченных в валюте, товарах или услугах. Эта серия отличается от стандартного долга</w:t>
      </w:r>
      <w:r>
        <w:rPr>
          <w:color w:val="000000"/>
          <w:lang w:val="ru-RU"/>
        </w:rPr>
        <w:t xml:space="preserve"> на экспортные партии</w:t>
      </w:r>
      <w:r w:rsidRPr="00FE21F2">
        <w:rPr>
          <w:color w:val="000000"/>
          <w:lang w:val="ru-RU"/>
        </w:rPr>
        <w:t>. Он охватывает только долгосрочные государственные и гарантированные государством долги и выплаты (</w:t>
      </w:r>
      <w:r>
        <w:rPr>
          <w:color w:val="000000"/>
          <w:lang w:val="ru-RU"/>
        </w:rPr>
        <w:t>перекупка и отчисления</w:t>
      </w:r>
      <w:r w:rsidRPr="00FE21F2">
        <w:rPr>
          <w:color w:val="000000"/>
          <w:lang w:val="ru-RU"/>
        </w:rPr>
        <w:t xml:space="preserve">) МВФ. Данные по бедным странам с крупной задолженностью (БСКЗ) взяты из Отчета о ходе выполнения Инициативы БСКЗ. </w:t>
      </w:r>
      <w:r w:rsidRPr="00C66223">
        <w:rPr>
          <w:color w:val="000000"/>
          <w:lang w:val="ru-RU"/>
        </w:rPr>
        <w:t>Источник: (Всемирный банк, Международная статистика задолженности).</w:t>
      </w:r>
    </w:p>
    <w:p w14:paraId="71A49F6B" w14:textId="77777777" w:rsidR="007518BC" w:rsidRPr="00FE21F2" w:rsidRDefault="007518BC" w:rsidP="007518BC">
      <w:pPr>
        <w:autoSpaceDE w:val="0"/>
        <w:autoSpaceDN w:val="0"/>
        <w:adjustRightInd w:val="0"/>
        <w:rPr>
          <w:color w:val="000000"/>
          <w:lang w:val="ru-RU"/>
        </w:rPr>
      </w:pPr>
      <w:r>
        <w:rPr>
          <w:b/>
          <w:color w:val="000000"/>
          <w:lang w:val="ru-RU"/>
        </w:rPr>
        <w:t>Общий внешний долг</w:t>
      </w:r>
      <w:r w:rsidRPr="00946BF2">
        <w:rPr>
          <w:b/>
          <w:color w:val="000000"/>
          <w:lang w:val="ru-RU"/>
        </w:rPr>
        <w:t xml:space="preserve"> (% от ВНД).</w:t>
      </w:r>
      <w:r w:rsidRPr="00FE21F2">
        <w:rPr>
          <w:color w:val="000000"/>
          <w:lang w:val="ru-RU"/>
        </w:rPr>
        <w:t xml:space="preserve"> Общий внешний долг - это задолженность перед нерезидентами, подлежащая погашению в валюте, товарах или услугах. Общий внешний долг представляет собой сумму государственного, гарантированного государством и частного необеспеченного долгосрочного долга, использования кредита МВФ и краткосрочного долга. Краткосрочный долг включает весь долг с первоначальным сроком погашения один год или менее и проценты по задолженности по долгосрочному долгу. ВНД (ранее ВНП) представляет собой сумму добавленной стоимости всех производителей-резидентов плю</w:t>
      </w:r>
      <w:r>
        <w:rPr>
          <w:color w:val="000000"/>
          <w:lang w:val="ru-RU"/>
        </w:rPr>
        <w:t>с любые налоги на продукцию</w:t>
      </w:r>
      <w:r w:rsidRPr="00FE21F2">
        <w:rPr>
          <w:color w:val="000000"/>
          <w:lang w:val="ru-RU"/>
        </w:rPr>
        <w:t xml:space="preserve"> (за вычетом субсидий), не включенные в оценку выпуска</w:t>
      </w:r>
      <w:r>
        <w:rPr>
          <w:color w:val="000000"/>
          <w:lang w:val="ru-RU"/>
        </w:rPr>
        <w:t xml:space="preserve"> продукции</w:t>
      </w:r>
      <w:r w:rsidRPr="00FE21F2">
        <w:rPr>
          <w:color w:val="000000"/>
          <w:lang w:val="ru-RU"/>
        </w:rPr>
        <w:t>, плюс чистые поступления первичного дохода (</w:t>
      </w:r>
      <w:r>
        <w:rPr>
          <w:color w:val="000000"/>
          <w:lang w:val="ru-RU"/>
        </w:rPr>
        <w:t>оплата за труд</w:t>
      </w:r>
      <w:r w:rsidRPr="00FE21F2">
        <w:rPr>
          <w:color w:val="000000"/>
          <w:lang w:val="ru-RU"/>
        </w:rPr>
        <w:t xml:space="preserve"> работников и доходы от собственности) из-за рубежа.</w:t>
      </w:r>
    </w:p>
    <w:p w14:paraId="5384AEED" w14:textId="77777777" w:rsidR="007518BC" w:rsidRPr="005A4332" w:rsidRDefault="007518BC" w:rsidP="007518BC">
      <w:pPr>
        <w:autoSpaceDE w:val="0"/>
        <w:autoSpaceDN w:val="0"/>
        <w:adjustRightInd w:val="0"/>
        <w:rPr>
          <w:color w:val="000000"/>
          <w:lang w:val="ru-RU"/>
        </w:rPr>
      </w:pPr>
      <w:r w:rsidRPr="009B133D">
        <w:rPr>
          <w:b/>
          <w:color w:val="000000"/>
          <w:lang w:val="ru-RU"/>
        </w:rPr>
        <w:t>Официальный обменный курс (</w:t>
      </w:r>
      <w:r>
        <w:rPr>
          <w:b/>
          <w:color w:val="000000"/>
          <w:lang w:val="ru-RU"/>
        </w:rPr>
        <w:t>местна</w:t>
      </w:r>
      <w:r w:rsidRPr="009B133D">
        <w:rPr>
          <w:b/>
          <w:color w:val="000000"/>
          <w:lang w:val="ru-RU"/>
        </w:rPr>
        <w:t>я валюта за долл. США, среднегодовой период):</w:t>
      </w:r>
      <w:r w:rsidRPr="00FE21F2">
        <w:rPr>
          <w:color w:val="000000"/>
          <w:lang w:val="ru-RU"/>
        </w:rPr>
        <w:t xml:space="preserve"> Официальный обменный курс относится к обменному курсу, установленному национальными властями, или к курсу, определенному на юридически санкционированном валютном рынке. Он рассчитывается как среднегодовое значение на основе среднемесячных значений (в местной валюте по отношению к доллару США). </w:t>
      </w:r>
      <w:r w:rsidRPr="005A4332">
        <w:rPr>
          <w:color w:val="000000"/>
          <w:lang w:val="ru-RU"/>
        </w:rPr>
        <w:t>Источник: (Международный валютный фонд, Международная финансовая статистика).</w:t>
      </w:r>
    </w:p>
    <w:p w14:paraId="24379909" w14:textId="77777777" w:rsidR="007518BC" w:rsidRPr="005A4332" w:rsidRDefault="007518BC" w:rsidP="007518BC">
      <w:pPr>
        <w:autoSpaceDE w:val="0"/>
        <w:autoSpaceDN w:val="0"/>
        <w:adjustRightInd w:val="0"/>
        <w:rPr>
          <w:b/>
          <w:color w:val="000000"/>
          <w:lang w:val="ru-RU"/>
        </w:rPr>
      </w:pPr>
      <w:r>
        <w:rPr>
          <w:b/>
          <w:color w:val="000000"/>
          <w:u w:val="single"/>
          <w:lang w:val="ru-RU"/>
        </w:rPr>
        <w:t>Финансовый сектор</w:t>
      </w:r>
    </w:p>
    <w:p w14:paraId="03F6A712" w14:textId="77777777" w:rsidR="007518BC" w:rsidRPr="00FE21F2" w:rsidRDefault="007518BC" w:rsidP="007518BC">
      <w:pPr>
        <w:autoSpaceDE w:val="0"/>
        <w:autoSpaceDN w:val="0"/>
        <w:adjustRightInd w:val="0"/>
        <w:rPr>
          <w:color w:val="000000"/>
          <w:lang w:val="ru-RU"/>
        </w:rPr>
      </w:pPr>
      <w:r>
        <w:rPr>
          <w:b/>
          <w:color w:val="000000"/>
          <w:lang w:val="ru-RU"/>
        </w:rPr>
        <w:t>Рост широких</w:t>
      </w:r>
      <w:r w:rsidRPr="00824FBA">
        <w:rPr>
          <w:b/>
          <w:color w:val="000000"/>
          <w:lang w:val="ru-RU"/>
        </w:rPr>
        <w:t xml:space="preserve"> </w:t>
      </w:r>
      <w:r>
        <w:rPr>
          <w:b/>
          <w:color w:val="000000"/>
          <w:lang w:val="ru-RU"/>
        </w:rPr>
        <w:t>денег</w:t>
      </w:r>
      <w:r w:rsidRPr="00824FBA">
        <w:rPr>
          <w:b/>
          <w:color w:val="000000"/>
          <w:lang w:val="ru-RU"/>
        </w:rPr>
        <w:t xml:space="preserve"> (годовой рост в</w:t>
      </w:r>
      <w:r>
        <w:rPr>
          <w:b/>
          <w:color w:val="000000"/>
          <w:lang w:val="ru-RU"/>
        </w:rPr>
        <w:t xml:space="preserve"> </w:t>
      </w:r>
      <w:r w:rsidRPr="00824FBA">
        <w:rPr>
          <w:b/>
          <w:color w:val="000000"/>
          <w:lang w:val="ru-RU"/>
        </w:rPr>
        <w:t>%):</w:t>
      </w:r>
      <w:r>
        <w:rPr>
          <w:color w:val="000000"/>
          <w:lang w:val="ru-RU"/>
        </w:rPr>
        <w:t xml:space="preserve"> широкие</w:t>
      </w:r>
      <w:r w:rsidRPr="00FE21F2">
        <w:rPr>
          <w:color w:val="000000"/>
          <w:lang w:val="ru-RU"/>
        </w:rPr>
        <w:t xml:space="preserve"> </w:t>
      </w:r>
      <w:r>
        <w:rPr>
          <w:color w:val="000000"/>
          <w:lang w:val="ru-RU"/>
        </w:rPr>
        <w:t>деньги</w:t>
      </w:r>
      <w:r w:rsidRPr="00FE21F2">
        <w:rPr>
          <w:color w:val="000000"/>
          <w:lang w:val="ru-RU"/>
        </w:rPr>
        <w:t xml:space="preserve"> - это сумма валюты вне банков; депозиты до востребования, кроме депозитов центрального правительства; время, сбережения и депозиты в иностранной валюте в секторах-резидентах, кроме центрального правительства; банковские и дорожные чеки; и другие ценные бумаги, такие как депозитные сертификаты и коммерческие бумаги. Источник: (Международный валютный фонд, Международная финансовая статистика и файлы данных).</w:t>
      </w:r>
    </w:p>
    <w:p w14:paraId="287404E1" w14:textId="77777777" w:rsidR="007518BC" w:rsidRPr="00FE21F2" w:rsidRDefault="007518BC" w:rsidP="007518BC">
      <w:pPr>
        <w:autoSpaceDE w:val="0"/>
        <w:autoSpaceDN w:val="0"/>
        <w:adjustRightInd w:val="0"/>
        <w:rPr>
          <w:b/>
          <w:color w:val="000000"/>
          <w:lang w:val="ru-RU"/>
        </w:rPr>
      </w:pPr>
      <w:r w:rsidRPr="005A4332">
        <w:rPr>
          <w:b/>
          <w:color w:val="000000"/>
          <w:lang w:val="ru-RU"/>
        </w:rPr>
        <w:t xml:space="preserve">Соотношение широких денег и </w:t>
      </w:r>
      <w:r>
        <w:rPr>
          <w:b/>
          <w:color w:val="000000"/>
          <w:lang w:val="ru-RU"/>
        </w:rPr>
        <w:t>совокупны</w:t>
      </w:r>
      <w:r w:rsidRPr="005A4332">
        <w:rPr>
          <w:b/>
          <w:color w:val="000000"/>
          <w:lang w:val="ru-RU"/>
        </w:rPr>
        <w:t>х резервов:</w:t>
      </w:r>
      <w:r w:rsidRPr="00FE21F2">
        <w:rPr>
          <w:color w:val="000000"/>
          <w:lang w:val="ru-RU"/>
        </w:rPr>
        <w:t xml:space="preserve"> широкие деньги (</w:t>
      </w:r>
      <w:r>
        <w:rPr>
          <w:color w:val="000000"/>
          <w:lang w:val="ru-RU"/>
        </w:rPr>
        <w:t xml:space="preserve">строка МФС </w:t>
      </w:r>
      <w:r w:rsidRPr="00FE21F2">
        <w:rPr>
          <w:color w:val="000000"/>
          <w:lang w:val="ru-RU"/>
        </w:rPr>
        <w:t>35</w:t>
      </w:r>
      <w:r w:rsidRPr="00FE21F2">
        <w:rPr>
          <w:color w:val="000000"/>
        </w:rPr>
        <w:t>L</w:t>
      </w:r>
      <w:r w:rsidRPr="00FE21F2">
        <w:rPr>
          <w:color w:val="000000"/>
          <w:lang w:val="ru-RU"/>
        </w:rPr>
        <w:t>..</w:t>
      </w:r>
      <w:r w:rsidRPr="00FE21F2">
        <w:rPr>
          <w:color w:val="000000"/>
        </w:rPr>
        <w:t>ZK</w:t>
      </w:r>
      <w:r w:rsidRPr="00FE21F2">
        <w:rPr>
          <w:color w:val="000000"/>
          <w:lang w:val="ru-RU"/>
        </w:rPr>
        <w:t>) - это сумма валюты вне банков; депозиты до востребования, кроме депозитов центрального правительства; время, сбережения и депозиты в иностранной валюте в секторах-резидентах, кроме центрального правительства; банковские и дорожные чеки; и другие ценные бумаги, такие как депозитные сертификаты и коммерческие бумаги. Источник: (Международный валютный фонд, Международная финансовая статистика и файлы данных).</w:t>
      </w:r>
    </w:p>
    <w:p w14:paraId="05EBED14" w14:textId="77777777" w:rsidR="007518BC" w:rsidRPr="001D0D22" w:rsidRDefault="007518BC" w:rsidP="007518BC">
      <w:pPr>
        <w:autoSpaceDE w:val="0"/>
        <w:autoSpaceDN w:val="0"/>
        <w:adjustRightInd w:val="0"/>
        <w:rPr>
          <w:color w:val="000000"/>
          <w:lang w:val="ru-RU"/>
        </w:rPr>
      </w:pPr>
      <w:r w:rsidRPr="004743B5">
        <w:rPr>
          <w:b/>
          <w:color w:val="000000"/>
          <w:lang w:val="ru-RU"/>
        </w:rPr>
        <w:lastRenderedPageBreak/>
        <w:t>Отношение необслуживаемых ссуд банков к общему объему выданных займов (%):</w:t>
      </w:r>
      <w:r w:rsidRPr="00FE21F2">
        <w:rPr>
          <w:color w:val="000000"/>
          <w:lang w:val="ru-RU"/>
        </w:rPr>
        <w:t xml:space="preserve"> Неработающие</w:t>
      </w:r>
      <w:r>
        <w:rPr>
          <w:color w:val="000000"/>
          <w:lang w:val="ru-RU"/>
        </w:rPr>
        <w:t>/необслуживаемые</w:t>
      </w:r>
      <w:r w:rsidRPr="00FE21F2">
        <w:rPr>
          <w:color w:val="000000"/>
          <w:lang w:val="ru-RU"/>
        </w:rPr>
        <w:t xml:space="preserve"> ссуды банка к </w:t>
      </w:r>
      <w:r>
        <w:rPr>
          <w:color w:val="000000"/>
          <w:lang w:val="ru-RU"/>
        </w:rPr>
        <w:t>общему объему выданных займов</w:t>
      </w:r>
      <w:r w:rsidRPr="00FE21F2">
        <w:rPr>
          <w:color w:val="000000"/>
          <w:lang w:val="ru-RU"/>
        </w:rPr>
        <w:t xml:space="preserve"> - это стоимость необслуживаемых ссуд, деленная на общую стоимость ссудного портфеля (включая необслуживаемые ссуды до вычета определенных резервов на потери по </w:t>
      </w:r>
      <w:r>
        <w:rPr>
          <w:color w:val="000000"/>
          <w:lang w:val="ru-RU"/>
        </w:rPr>
        <w:t>ссудам). Сумма ссуды, отраженной</w:t>
      </w:r>
      <w:r w:rsidRPr="00FE21F2">
        <w:rPr>
          <w:color w:val="000000"/>
          <w:lang w:val="ru-RU"/>
        </w:rPr>
        <w:t xml:space="preserve"> как не</w:t>
      </w:r>
      <w:r>
        <w:rPr>
          <w:color w:val="000000"/>
          <w:lang w:val="ru-RU"/>
        </w:rPr>
        <w:t>обслуживаемой</w:t>
      </w:r>
      <w:r w:rsidRPr="00FE21F2">
        <w:rPr>
          <w:color w:val="000000"/>
          <w:lang w:val="ru-RU"/>
        </w:rPr>
        <w:t xml:space="preserve">, должна представлять собой валовую стоимость ссуды, отраженную в балансе, а не только просроченную сумму. </w:t>
      </w:r>
      <w:r w:rsidRPr="001D0D22">
        <w:rPr>
          <w:color w:val="000000"/>
          <w:lang w:val="ru-RU"/>
        </w:rPr>
        <w:t>Источник: (Международный валютный фонд, Отчет о глобальной финансовой стабильности).</w:t>
      </w:r>
    </w:p>
    <w:p w14:paraId="46F2DABA" w14:textId="77777777" w:rsidR="007518BC" w:rsidRPr="00FE21F2" w:rsidRDefault="007518BC" w:rsidP="007518BC">
      <w:pPr>
        <w:autoSpaceDE w:val="0"/>
        <w:autoSpaceDN w:val="0"/>
        <w:adjustRightInd w:val="0"/>
        <w:rPr>
          <w:color w:val="000000"/>
          <w:lang w:val="ru-RU"/>
        </w:rPr>
      </w:pPr>
      <w:r w:rsidRPr="008D31A4">
        <w:rPr>
          <w:b/>
          <w:color w:val="000000"/>
          <w:lang w:val="ru-RU"/>
        </w:rPr>
        <w:t>Соотношение банковского капитала и активов банка (%):</w:t>
      </w:r>
      <w:r w:rsidRPr="00FE21F2">
        <w:rPr>
          <w:color w:val="000000"/>
          <w:lang w:val="ru-RU"/>
        </w:rPr>
        <w:t xml:space="preserve"> </w:t>
      </w:r>
      <w:r>
        <w:rPr>
          <w:color w:val="000000"/>
          <w:lang w:val="ru-RU"/>
        </w:rPr>
        <w:t xml:space="preserve">соотношение </w:t>
      </w:r>
      <w:r w:rsidRPr="00FE21F2">
        <w:rPr>
          <w:color w:val="000000"/>
          <w:lang w:val="ru-RU"/>
        </w:rPr>
        <w:t>капитал</w:t>
      </w:r>
      <w:r>
        <w:rPr>
          <w:color w:val="000000"/>
          <w:lang w:val="ru-RU"/>
        </w:rPr>
        <w:t>а</w:t>
      </w:r>
      <w:r w:rsidRPr="00FE21F2">
        <w:rPr>
          <w:color w:val="000000"/>
          <w:lang w:val="ru-RU"/>
        </w:rPr>
        <w:t xml:space="preserve"> банка к активам - это отношение капитала и резервов банка к общей сумме активов. Капитал и резервы включают средства, внесенные владельцами, нераспределенную прибыль, общие и специальные резервы, </w:t>
      </w:r>
      <w:r>
        <w:rPr>
          <w:color w:val="000000"/>
          <w:lang w:val="ru-RU"/>
        </w:rPr>
        <w:t>накопления</w:t>
      </w:r>
      <w:r w:rsidRPr="00FE21F2">
        <w:rPr>
          <w:color w:val="000000"/>
          <w:lang w:val="ru-RU"/>
        </w:rPr>
        <w:t xml:space="preserve"> и корректировки оценки. Капитал состоит из капитала 1-го уровня (оплаченные акции и обыкновенные акции), который является общей чертой для банковских систем всех стран, и общего регулятивного капитала, который включает несколько определенных типов субординированных долговых инструментов, которые не нужно погашать, если средства должны поддерживать минимальные уровни капитала (они включают капитал 2 и 3 уровня). Общие активы включают все нефинансовые и финансовые активы. Источник: (Международный валютный фонд, Отчет о глобальной финансовой стабильности).</w:t>
      </w:r>
    </w:p>
    <w:p w14:paraId="6DBDEFD4" w14:textId="77777777" w:rsidR="007518BC" w:rsidRPr="002417CA" w:rsidRDefault="007518BC" w:rsidP="007518BC">
      <w:pPr>
        <w:autoSpaceDE w:val="0"/>
        <w:autoSpaceDN w:val="0"/>
        <w:adjustRightInd w:val="0"/>
        <w:rPr>
          <w:b/>
          <w:color w:val="000000"/>
          <w:u w:val="single"/>
          <w:lang w:val="ru-RU"/>
        </w:rPr>
      </w:pPr>
      <w:r>
        <w:rPr>
          <w:b/>
          <w:color w:val="000000"/>
          <w:u w:val="single"/>
          <w:lang w:val="ru-RU"/>
        </w:rPr>
        <w:t>Фискальный сектор</w:t>
      </w:r>
    </w:p>
    <w:p w14:paraId="2AA68530" w14:textId="77777777" w:rsidR="007518BC" w:rsidRPr="001F59ED" w:rsidRDefault="007518BC" w:rsidP="007518BC">
      <w:pPr>
        <w:autoSpaceDE w:val="0"/>
        <w:autoSpaceDN w:val="0"/>
        <w:adjustRightInd w:val="0"/>
        <w:rPr>
          <w:color w:val="000000" w:themeColor="text1"/>
          <w:lang w:val="ru-RU"/>
        </w:rPr>
      </w:pPr>
      <w:r w:rsidRPr="00E84B9D">
        <w:rPr>
          <w:b/>
          <w:color w:val="000000" w:themeColor="text1"/>
          <w:lang w:val="ru-RU"/>
        </w:rPr>
        <w:t>Доход (% от ВВП).</w:t>
      </w:r>
      <w:r w:rsidRPr="00FE21F2">
        <w:rPr>
          <w:color w:val="000000" w:themeColor="text1"/>
          <w:lang w:val="ru-RU"/>
        </w:rPr>
        <w:t xml:space="preserve"> Доход - это денежные поступления от налогов, социальных взносов и других доходов, таких как штрафы, сборы, арендная плата и доход от собственности или продажи. </w:t>
      </w:r>
      <w:r w:rsidRPr="001F59ED">
        <w:rPr>
          <w:color w:val="000000" w:themeColor="text1"/>
          <w:lang w:val="ru-RU"/>
        </w:rPr>
        <w:t>Гранты также рассматриваются как доходы.</w:t>
      </w:r>
    </w:p>
    <w:p w14:paraId="51504EF0" w14:textId="77777777" w:rsidR="007518BC" w:rsidRPr="00FE21F2" w:rsidRDefault="007518BC" w:rsidP="007518BC">
      <w:pPr>
        <w:autoSpaceDE w:val="0"/>
        <w:autoSpaceDN w:val="0"/>
        <w:adjustRightInd w:val="0"/>
        <w:rPr>
          <w:color w:val="000000"/>
          <w:lang w:val="ru-RU"/>
        </w:rPr>
      </w:pPr>
      <w:r w:rsidRPr="000D42F3">
        <w:rPr>
          <w:b/>
          <w:color w:val="000000"/>
          <w:lang w:val="ru-RU"/>
        </w:rPr>
        <w:t>Налоговые поступления (% от ВВП).</w:t>
      </w:r>
      <w:r w:rsidRPr="00FE21F2">
        <w:rPr>
          <w:color w:val="000000"/>
          <w:lang w:val="ru-RU"/>
        </w:rPr>
        <w:t xml:space="preserve"> Под налоговыми поступлениями понимаются обязательные </w:t>
      </w:r>
      <w:r>
        <w:rPr>
          <w:color w:val="000000"/>
          <w:lang w:val="ru-RU"/>
        </w:rPr>
        <w:t>отчисления</w:t>
      </w:r>
      <w:r w:rsidRPr="00FE21F2">
        <w:rPr>
          <w:color w:val="000000"/>
          <w:lang w:val="ru-RU"/>
        </w:rPr>
        <w:t xml:space="preserve"> центральному правительству </w:t>
      </w:r>
      <w:r>
        <w:rPr>
          <w:color w:val="000000"/>
          <w:lang w:val="ru-RU"/>
        </w:rPr>
        <w:t>для государственных целей</w:t>
      </w:r>
      <w:r w:rsidRPr="00FE21F2">
        <w:rPr>
          <w:color w:val="000000"/>
          <w:lang w:val="ru-RU"/>
        </w:rPr>
        <w:t xml:space="preserve">. Некоторые обязательные </w:t>
      </w:r>
      <w:r>
        <w:rPr>
          <w:color w:val="000000"/>
          <w:lang w:val="ru-RU"/>
        </w:rPr>
        <w:t>отчисления</w:t>
      </w:r>
      <w:r w:rsidRPr="00FE21F2">
        <w:rPr>
          <w:color w:val="000000"/>
          <w:lang w:val="ru-RU"/>
        </w:rPr>
        <w:t>, такие как штрафы, пени и большинство взносов в систему социального обеспечения, исключаются. Возвраты и исправления ошибочно собранных налоговых поступлений рассматриваются как отрицательные поступления. Источник: (Международный валютный фонд, Ежегодник статистики государственных финансов и файлы данных, а также оценки ВВП Всемирного банка и ОЭСР).</w:t>
      </w:r>
    </w:p>
    <w:p w14:paraId="10F1387D" w14:textId="77777777" w:rsidR="007518BC" w:rsidRPr="00FE21F2" w:rsidRDefault="007518BC" w:rsidP="007518BC">
      <w:pPr>
        <w:autoSpaceDE w:val="0"/>
        <w:autoSpaceDN w:val="0"/>
        <w:adjustRightInd w:val="0"/>
        <w:rPr>
          <w:b/>
          <w:color w:val="000000"/>
          <w:lang w:val="ru-RU"/>
        </w:rPr>
      </w:pPr>
      <w:r w:rsidRPr="00563E4C">
        <w:rPr>
          <w:b/>
          <w:color w:val="000000"/>
          <w:lang w:val="ru-RU"/>
        </w:rPr>
        <w:t xml:space="preserve">Общий </w:t>
      </w:r>
      <w:r>
        <w:rPr>
          <w:b/>
          <w:color w:val="000000"/>
          <w:lang w:val="ru-RU"/>
        </w:rPr>
        <w:t>фискаль</w:t>
      </w:r>
      <w:r w:rsidRPr="00563E4C">
        <w:rPr>
          <w:b/>
          <w:color w:val="000000"/>
          <w:lang w:val="ru-RU"/>
        </w:rPr>
        <w:t>ный баланс (% ВВП):</w:t>
      </w:r>
      <w:r w:rsidRPr="00FE21F2">
        <w:rPr>
          <w:color w:val="000000"/>
          <w:lang w:val="ru-RU"/>
        </w:rPr>
        <w:t xml:space="preserve"> это разница между доходами и расходами национального правительства, выраженная в процентах от ВВП.</w:t>
      </w:r>
    </w:p>
    <w:p w14:paraId="1110CB16" w14:textId="77777777" w:rsidR="007518BC" w:rsidRPr="00941038" w:rsidRDefault="007518BC" w:rsidP="007518BC">
      <w:pPr>
        <w:autoSpaceDE w:val="0"/>
        <w:autoSpaceDN w:val="0"/>
        <w:adjustRightInd w:val="0"/>
        <w:rPr>
          <w:color w:val="000000"/>
          <w:lang w:val="ru-RU"/>
        </w:rPr>
      </w:pPr>
      <w:r w:rsidRPr="00582958">
        <w:rPr>
          <w:b/>
          <w:color w:val="000000"/>
          <w:lang w:val="ru-RU"/>
        </w:rPr>
        <w:t xml:space="preserve">Валовой государственный долг </w:t>
      </w:r>
      <w:r w:rsidRPr="00582958">
        <w:rPr>
          <w:b/>
          <w:color w:val="000000"/>
          <w:lang w:val="en"/>
        </w:rPr>
        <w:t>D</w:t>
      </w:r>
      <w:r w:rsidRPr="00582958">
        <w:rPr>
          <w:b/>
          <w:color w:val="000000"/>
          <w:lang w:val="ru-RU"/>
        </w:rPr>
        <w:t>2 и государственный сектор (% от ВВП):</w:t>
      </w:r>
      <w:r w:rsidRPr="00FE21F2">
        <w:rPr>
          <w:color w:val="000000"/>
          <w:lang w:val="ru-RU"/>
        </w:rPr>
        <w:t xml:space="preserve"> охват инструментов </w:t>
      </w:r>
      <w:r w:rsidRPr="00FE21F2">
        <w:rPr>
          <w:color w:val="000000"/>
          <w:lang w:val="en"/>
        </w:rPr>
        <w:t>D</w:t>
      </w:r>
      <w:r w:rsidRPr="00FE21F2">
        <w:rPr>
          <w:color w:val="000000"/>
          <w:lang w:val="ru-RU"/>
        </w:rPr>
        <w:t>2 согласно этой классификации включает (1) долговые ценные бумаги, (2) займы</w:t>
      </w:r>
      <w:r>
        <w:rPr>
          <w:color w:val="000000"/>
          <w:lang w:val="ru-RU"/>
        </w:rPr>
        <w:t>/ссуды</w:t>
      </w:r>
      <w:r w:rsidRPr="00FE21F2">
        <w:rPr>
          <w:color w:val="000000"/>
          <w:lang w:val="ru-RU"/>
        </w:rPr>
        <w:t>, (3) специальные права заимствования и (4) валюту и депозиты в процентах от ВВП. Источник: (База данных статистики долга государственного сектора (</w:t>
      </w:r>
      <w:r w:rsidRPr="00FE21F2">
        <w:rPr>
          <w:color w:val="000000"/>
          <w:lang w:val="en"/>
        </w:rPr>
        <w:t>PSD</w:t>
      </w:r>
      <w:r w:rsidRPr="00FE21F2">
        <w:rPr>
          <w:color w:val="000000"/>
          <w:lang w:val="ru-RU"/>
        </w:rPr>
        <w:t>), разработанная Всемирным банком и Международным валютным фондом).</w:t>
      </w:r>
    </w:p>
    <w:p w14:paraId="4C4BBCE5" w14:textId="77777777" w:rsidR="007518BC" w:rsidRDefault="007518BC" w:rsidP="007518BC">
      <w:pPr>
        <w:autoSpaceDE w:val="0"/>
        <w:autoSpaceDN w:val="0"/>
        <w:adjustRightInd w:val="0"/>
        <w:rPr>
          <w:b/>
          <w:color w:val="000000"/>
          <w:u w:val="single"/>
          <w:lang w:val="ru-RU"/>
        </w:rPr>
      </w:pPr>
      <w:r>
        <w:rPr>
          <w:b/>
          <w:color w:val="000000"/>
          <w:u w:val="single"/>
          <w:lang w:val="ru-RU"/>
        </w:rPr>
        <w:t>Реальный сектор и цены</w:t>
      </w:r>
    </w:p>
    <w:p w14:paraId="109A75FC" w14:textId="77777777" w:rsidR="007518BC" w:rsidRPr="00F73F54" w:rsidRDefault="007518BC" w:rsidP="007518BC">
      <w:pPr>
        <w:autoSpaceDE w:val="0"/>
        <w:autoSpaceDN w:val="0"/>
        <w:adjustRightInd w:val="0"/>
        <w:rPr>
          <w:b/>
          <w:color w:val="000000"/>
          <w:u w:val="single"/>
          <w:lang w:val="ru-RU"/>
        </w:rPr>
      </w:pPr>
      <w:r w:rsidRPr="00263C55">
        <w:rPr>
          <w:b/>
          <w:color w:val="000000"/>
          <w:lang w:val="ru-RU"/>
        </w:rPr>
        <w:br/>
      </w:r>
      <w:r w:rsidRPr="000A5B2C">
        <w:rPr>
          <w:b/>
          <w:color w:val="000000"/>
          <w:lang w:val="ru-RU"/>
        </w:rPr>
        <w:t>Валовой внутренний продукт (годовое изменение в</w:t>
      </w:r>
      <w:r>
        <w:rPr>
          <w:b/>
          <w:color w:val="000000"/>
          <w:lang w:val="ru-RU"/>
        </w:rPr>
        <w:t xml:space="preserve"> </w:t>
      </w:r>
      <w:r w:rsidRPr="000A5B2C">
        <w:rPr>
          <w:b/>
          <w:color w:val="000000"/>
          <w:lang w:val="ru-RU"/>
        </w:rPr>
        <w:t xml:space="preserve">%): </w:t>
      </w:r>
      <w:r w:rsidRPr="00FE21F2">
        <w:rPr>
          <w:color w:val="000000"/>
          <w:lang w:val="ru-RU"/>
        </w:rPr>
        <w:t>ВВП представляет собой сумму валовой добавленной стоимости всех производителей-резидентов в экономи</w:t>
      </w:r>
      <w:r>
        <w:rPr>
          <w:color w:val="000000"/>
          <w:lang w:val="ru-RU"/>
        </w:rPr>
        <w:t>ке плюс любые налоги на продукцию</w:t>
      </w:r>
      <w:r w:rsidRPr="00FE21F2">
        <w:rPr>
          <w:color w:val="000000"/>
          <w:lang w:val="ru-RU"/>
        </w:rPr>
        <w:t xml:space="preserve"> и минус любые субсидии, не </w:t>
      </w:r>
      <w:r>
        <w:rPr>
          <w:color w:val="000000"/>
          <w:lang w:val="ru-RU"/>
        </w:rPr>
        <w:t>включенные в стоимость продукции</w:t>
      </w:r>
      <w:r w:rsidRPr="00FE21F2">
        <w:rPr>
          <w:color w:val="000000"/>
          <w:lang w:val="ru-RU"/>
        </w:rPr>
        <w:t xml:space="preserve">. Он рассчитывается </w:t>
      </w:r>
      <w:r w:rsidRPr="00FE21F2">
        <w:rPr>
          <w:color w:val="000000"/>
          <w:lang w:val="ru-RU"/>
        </w:rPr>
        <w:lastRenderedPageBreak/>
        <w:t>без учета вычетов по износу готовых активов или истощению и деградации природных ресурсов. Источник: (данные национальных счетов Всемирного банка и файлы данных национальных счетов ОЭСР).</w:t>
      </w:r>
    </w:p>
    <w:p w14:paraId="10AD0164" w14:textId="77777777" w:rsidR="007518BC" w:rsidRPr="006F221A" w:rsidRDefault="007518BC" w:rsidP="007518BC">
      <w:pPr>
        <w:autoSpaceDE w:val="0"/>
        <w:autoSpaceDN w:val="0"/>
        <w:adjustRightInd w:val="0"/>
        <w:rPr>
          <w:color w:val="000000"/>
          <w:lang w:val="ru-RU"/>
        </w:rPr>
      </w:pPr>
      <w:r w:rsidRPr="00263C55">
        <w:rPr>
          <w:b/>
          <w:color w:val="000000"/>
          <w:lang w:val="ru-RU"/>
        </w:rPr>
        <w:t>Валовое накопление капитала (</w:t>
      </w:r>
      <w:r>
        <w:rPr>
          <w:b/>
          <w:color w:val="000000"/>
          <w:lang w:val="ru-RU"/>
        </w:rPr>
        <w:t>годов</w:t>
      </w:r>
      <w:r w:rsidRPr="00263C55">
        <w:rPr>
          <w:b/>
          <w:color w:val="000000"/>
          <w:lang w:val="ru-RU"/>
        </w:rPr>
        <w:t>ое изменение в</w:t>
      </w:r>
      <w:r>
        <w:rPr>
          <w:b/>
          <w:color w:val="000000"/>
          <w:lang w:val="ru-RU"/>
        </w:rPr>
        <w:t xml:space="preserve"> </w:t>
      </w:r>
      <w:r w:rsidRPr="00263C55">
        <w:rPr>
          <w:b/>
          <w:color w:val="000000"/>
          <w:lang w:val="ru-RU"/>
        </w:rPr>
        <w:t>%):</w:t>
      </w:r>
      <w:r w:rsidRPr="006F221A">
        <w:rPr>
          <w:color w:val="000000"/>
          <w:lang w:val="ru-RU"/>
        </w:rPr>
        <w:t xml:space="preserve"> Валовое накопление</w:t>
      </w:r>
      <w:r>
        <w:rPr>
          <w:color w:val="000000"/>
          <w:lang w:val="ru-RU"/>
        </w:rPr>
        <w:t xml:space="preserve"> капитала</w:t>
      </w:r>
      <w:r w:rsidRPr="006F221A">
        <w:rPr>
          <w:color w:val="000000"/>
          <w:lang w:val="ru-RU"/>
        </w:rPr>
        <w:t xml:space="preserve"> (ранее валовые внутренние инвестиции) состоит из затрат на добавление в основные фонды экономики плюс чистые изменения в уровне запасов. К основным средствам относятся улучшения земельных участко</w:t>
      </w:r>
      <w:r>
        <w:rPr>
          <w:color w:val="000000"/>
          <w:lang w:val="ru-RU"/>
        </w:rPr>
        <w:t>в (заборы, рвы, водостоки и т.п</w:t>
      </w:r>
      <w:r w:rsidRPr="006F221A">
        <w:rPr>
          <w:color w:val="000000"/>
          <w:lang w:val="ru-RU"/>
        </w:rPr>
        <w:t xml:space="preserve">.); закупки </w:t>
      </w:r>
      <w:r>
        <w:rPr>
          <w:color w:val="000000"/>
          <w:lang w:val="ru-RU"/>
        </w:rPr>
        <w:t xml:space="preserve">установок, </w:t>
      </w:r>
      <w:r w:rsidRPr="006F221A">
        <w:rPr>
          <w:color w:val="000000"/>
          <w:lang w:val="ru-RU"/>
        </w:rPr>
        <w:t>машин, оборудования; и строительство дорог, железных дорог и тому подобного, включая школы, офисы, больницы, частные жилые дома, а также коммерческие и промышленные здания.</w:t>
      </w:r>
      <w:r>
        <w:rPr>
          <w:color w:val="000000"/>
          <w:lang w:val="ru-RU"/>
        </w:rPr>
        <w:t xml:space="preserve"> </w:t>
      </w:r>
      <w:r w:rsidRPr="00715A12">
        <w:rPr>
          <w:color w:val="000000"/>
          <w:lang w:val="ru-RU"/>
        </w:rPr>
        <w:t>Запасы</w:t>
      </w:r>
      <w:r w:rsidRPr="006F221A">
        <w:rPr>
          <w:color w:val="000000"/>
          <w:lang w:val="ru-RU"/>
        </w:rPr>
        <w:t xml:space="preserve"> - это запасы товаров, которыми владеют фирмы для удовлетворения временных или непредвиденных колебаний в производстве или продажах, и «незавершенное производство». Согласно СНС 2008 года, чистые приобретения ценностей также считаются накоплением капитала. Источник: (данные национальных счетов Всемирного банка и файлы данных национальных счетов ОЭСР).</w:t>
      </w:r>
    </w:p>
    <w:p w14:paraId="581B1FAF" w14:textId="77777777" w:rsidR="007518BC" w:rsidRPr="006F221A" w:rsidRDefault="007518BC" w:rsidP="007518BC">
      <w:pPr>
        <w:autoSpaceDE w:val="0"/>
        <w:autoSpaceDN w:val="0"/>
        <w:adjustRightInd w:val="0"/>
        <w:rPr>
          <w:color w:val="000000"/>
          <w:lang w:val="ru-RU"/>
        </w:rPr>
      </w:pPr>
      <w:r w:rsidRPr="00AF1B6C">
        <w:rPr>
          <w:b/>
          <w:color w:val="000000"/>
          <w:lang w:val="ru-RU"/>
        </w:rPr>
        <w:t>Расходы домохозяйств на конечное потре</w:t>
      </w:r>
      <w:r>
        <w:rPr>
          <w:b/>
          <w:color w:val="000000"/>
          <w:lang w:val="ru-RU"/>
        </w:rPr>
        <w:t>бление (годовое изменение в %):</w:t>
      </w:r>
      <w:r w:rsidRPr="006F221A">
        <w:rPr>
          <w:color w:val="000000"/>
          <w:lang w:val="ru-RU"/>
        </w:rPr>
        <w:t xml:space="preserve"> Расходы домохозяйств на конечное потребление (ранее частное потребление) представляют собой рыночную стоимость всех товаров и услуг, включая товары длительного пользования (например, автомобили, стиральные машины и домашние компьютеры), приобретенные домашними хозяйствами. Это исключает покупку жилья, но включает вмененную арендную плату за жилье, занимаемое владельцем. </w:t>
      </w:r>
      <w:r w:rsidRPr="001F59ED">
        <w:rPr>
          <w:color w:val="000000"/>
          <w:lang w:val="ru-RU"/>
        </w:rPr>
        <w:t xml:space="preserve">Сюда также входят платежи и сборы правительствам за получение разрешений и лицензий. </w:t>
      </w:r>
      <w:r>
        <w:rPr>
          <w:color w:val="000000"/>
          <w:lang w:val="ru-RU"/>
        </w:rPr>
        <w:t>В Показателях мирового развития</w:t>
      </w:r>
      <w:r w:rsidRPr="006F221A">
        <w:rPr>
          <w:color w:val="000000"/>
          <w:lang w:val="ru-RU"/>
        </w:rPr>
        <w:t xml:space="preserve">, расходы на потребление домашних хозяйств включают в себя расходы некоммерческих учреждений, обслуживающих домашние хозяйства, даже если </w:t>
      </w:r>
      <w:r>
        <w:rPr>
          <w:color w:val="000000"/>
          <w:lang w:val="ru-RU"/>
        </w:rPr>
        <w:t>страны отчитываются о них отдельно</w:t>
      </w:r>
      <w:r w:rsidRPr="006F221A">
        <w:rPr>
          <w:color w:val="000000"/>
          <w:lang w:val="ru-RU"/>
        </w:rPr>
        <w:t>. Этот пункт также включает любые статистические расхо</w:t>
      </w:r>
      <w:r>
        <w:rPr>
          <w:color w:val="000000"/>
          <w:lang w:val="ru-RU"/>
        </w:rPr>
        <w:t>ждения в использовании ресурсов, связанных с предложением</w:t>
      </w:r>
      <w:r w:rsidRPr="006F221A">
        <w:rPr>
          <w:color w:val="000000"/>
          <w:lang w:val="ru-RU"/>
        </w:rPr>
        <w:t xml:space="preserve"> ресурсов. Источник: (данные национальных счетов Всемирного банка и файлы данных национальных счетов ОЭСР).</w:t>
      </w:r>
    </w:p>
    <w:p w14:paraId="239B6BEB" w14:textId="77777777" w:rsidR="007518BC" w:rsidRPr="006F221A" w:rsidRDefault="007518BC" w:rsidP="007518BC">
      <w:pPr>
        <w:autoSpaceDE w:val="0"/>
        <w:autoSpaceDN w:val="0"/>
        <w:adjustRightInd w:val="0"/>
        <w:rPr>
          <w:color w:val="000000"/>
          <w:lang w:val="ru-RU"/>
        </w:rPr>
      </w:pPr>
      <w:r w:rsidRPr="00187EBE">
        <w:rPr>
          <w:b/>
          <w:color w:val="000000"/>
          <w:lang w:val="ru-RU"/>
        </w:rPr>
        <w:t>Расходы на конечное потребление сектора государственного управления (</w:t>
      </w:r>
      <w:r>
        <w:rPr>
          <w:b/>
          <w:color w:val="000000"/>
          <w:lang w:val="ru-RU"/>
        </w:rPr>
        <w:t>годовое</w:t>
      </w:r>
      <w:r w:rsidRPr="00187EBE">
        <w:rPr>
          <w:b/>
          <w:color w:val="000000"/>
          <w:lang w:val="ru-RU"/>
        </w:rPr>
        <w:t xml:space="preserve"> изменение в</w:t>
      </w:r>
      <w:r>
        <w:rPr>
          <w:b/>
          <w:color w:val="000000"/>
          <w:lang w:val="ru-RU"/>
        </w:rPr>
        <w:t xml:space="preserve"> </w:t>
      </w:r>
      <w:r w:rsidRPr="00187EBE">
        <w:rPr>
          <w:b/>
          <w:color w:val="000000"/>
          <w:lang w:val="ru-RU"/>
        </w:rPr>
        <w:t>%).</w:t>
      </w:r>
      <w:r w:rsidRPr="006F221A">
        <w:rPr>
          <w:color w:val="000000"/>
          <w:lang w:val="ru-RU"/>
        </w:rPr>
        <w:t xml:space="preserve"> Расходы на конечное потребление сектора государственного управления (ранее потребление сектора государственного управления) включают все текущие расходы </w:t>
      </w:r>
      <w:r>
        <w:rPr>
          <w:color w:val="000000"/>
          <w:lang w:val="ru-RU"/>
        </w:rPr>
        <w:t>государ</w:t>
      </w:r>
      <w:r w:rsidRPr="006F221A">
        <w:rPr>
          <w:color w:val="000000"/>
          <w:lang w:val="ru-RU"/>
        </w:rPr>
        <w:t xml:space="preserve">ства на приобретение товаров и услуг (включая оплату труда работников). Он также включает большинство расходов на национальную оборону и безопасность, но исключает </w:t>
      </w:r>
      <w:r>
        <w:rPr>
          <w:color w:val="000000"/>
          <w:lang w:val="ru-RU"/>
        </w:rPr>
        <w:t>государ</w:t>
      </w:r>
      <w:r w:rsidRPr="006F221A">
        <w:rPr>
          <w:color w:val="000000"/>
          <w:lang w:val="ru-RU"/>
        </w:rPr>
        <w:t>ственные военные расходы, которые являются частью формирования государственного капитала. Источник: (данные национальных счетов Всемирного банка и файлы данных национальных счетов ОЭСР).</w:t>
      </w:r>
    </w:p>
    <w:p w14:paraId="1C87ED11" w14:textId="77777777" w:rsidR="007518BC" w:rsidRPr="006F221A" w:rsidRDefault="007518BC" w:rsidP="007518BC">
      <w:pPr>
        <w:autoSpaceDE w:val="0"/>
        <w:autoSpaceDN w:val="0"/>
        <w:adjustRightInd w:val="0"/>
        <w:rPr>
          <w:color w:val="000000"/>
          <w:lang w:val="ru-RU"/>
        </w:rPr>
      </w:pPr>
      <w:r w:rsidRPr="002E7B40">
        <w:rPr>
          <w:b/>
          <w:color w:val="000000"/>
          <w:lang w:val="ru-RU"/>
        </w:rPr>
        <w:t>Экспорт товаров и услуг (</w:t>
      </w:r>
      <w:r>
        <w:rPr>
          <w:b/>
          <w:color w:val="000000"/>
          <w:lang w:val="ru-RU"/>
        </w:rPr>
        <w:t>годовое</w:t>
      </w:r>
      <w:r w:rsidRPr="002E7B40">
        <w:rPr>
          <w:b/>
          <w:color w:val="000000"/>
          <w:lang w:val="ru-RU"/>
        </w:rPr>
        <w:t xml:space="preserve"> изменение в</w:t>
      </w:r>
      <w:r>
        <w:rPr>
          <w:b/>
          <w:color w:val="000000"/>
          <w:lang w:val="ru-RU"/>
        </w:rPr>
        <w:t xml:space="preserve"> </w:t>
      </w:r>
      <w:r w:rsidRPr="002E7B40">
        <w:rPr>
          <w:b/>
          <w:color w:val="000000"/>
          <w:lang w:val="ru-RU"/>
        </w:rPr>
        <w:t>%)</w:t>
      </w:r>
      <w:r w:rsidRPr="006F221A">
        <w:rPr>
          <w:color w:val="000000"/>
          <w:lang w:val="ru-RU"/>
        </w:rPr>
        <w:t xml:space="preserve">: Экспорт товаров и услуг представляет собой стоимость всех товаров и других рыночных </w:t>
      </w:r>
      <w:r>
        <w:rPr>
          <w:color w:val="000000"/>
          <w:lang w:val="ru-RU"/>
        </w:rPr>
        <w:t>услуг, предоставленн</w:t>
      </w:r>
      <w:r w:rsidRPr="006F221A">
        <w:rPr>
          <w:color w:val="000000"/>
          <w:lang w:val="ru-RU"/>
        </w:rPr>
        <w:t>ых остальному миру. Они включают стоимость товаров, фрахта, страхования, транспорта, поездок, роялти, лицензионных сборов и других услуг, таких как услуги связи, строительства, финансовые, информационные, деловые, личные и государственные услуги. Источник: (данные национальных счетов Всемирного банка и файлы данных национальных счетов ОЭСР).</w:t>
      </w:r>
    </w:p>
    <w:p w14:paraId="259E5EB9" w14:textId="77777777" w:rsidR="007518BC" w:rsidRPr="006F221A" w:rsidRDefault="007518BC" w:rsidP="007518BC">
      <w:pPr>
        <w:autoSpaceDE w:val="0"/>
        <w:autoSpaceDN w:val="0"/>
        <w:adjustRightInd w:val="0"/>
        <w:rPr>
          <w:color w:val="000000"/>
          <w:lang w:val="ru-RU"/>
        </w:rPr>
      </w:pPr>
      <w:r w:rsidRPr="00852202">
        <w:rPr>
          <w:b/>
          <w:color w:val="000000"/>
          <w:lang w:val="ru-RU"/>
        </w:rPr>
        <w:t>Импорт товаров и услуг (ежегодное изменение в</w:t>
      </w:r>
      <w:r>
        <w:rPr>
          <w:b/>
          <w:color w:val="000000"/>
          <w:lang w:val="ru-RU"/>
        </w:rPr>
        <w:t xml:space="preserve"> </w:t>
      </w:r>
      <w:r w:rsidRPr="00852202">
        <w:rPr>
          <w:b/>
          <w:color w:val="000000"/>
          <w:lang w:val="ru-RU"/>
        </w:rPr>
        <w:t>%).</w:t>
      </w:r>
      <w:r w:rsidRPr="006F221A">
        <w:rPr>
          <w:color w:val="000000"/>
          <w:lang w:val="ru-RU"/>
        </w:rPr>
        <w:t xml:space="preserve"> Импорт товаров и услуг представляет собой стоимость всех товаров и других рыночных услуг, полученных от остального мира. Они включают стоимость товаров, фрахта, страхования, транспорта, поездок, роялти, лицензионных сборов и других услуг, таких как услуги связи, строительства, финансовые, информационные, деловые, </w:t>
      </w:r>
      <w:r w:rsidRPr="006F221A">
        <w:rPr>
          <w:color w:val="000000"/>
          <w:lang w:val="ru-RU"/>
        </w:rPr>
        <w:lastRenderedPageBreak/>
        <w:t>личные и государственные услуги. Источник: (данные национальных счетов Всемирного банка и файлы данных национальных счетов ОЭСР).</w:t>
      </w:r>
    </w:p>
    <w:p w14:paraId="47A4A5DD" w14:textId="77777777" w:rsidR="007518BC" w:rsidRPr="006F221A" w:rsidRDefault="007518BC" w:rsidP="007518BC">
      <w:pPr>
        <w:autoSpaceDE w:val="0"/>
        <w:autoSpaceDN w:val="0"/>
        <w:adjustRightInd w:val="0"/>
        <w:rPr>
          <w:color w:val="000000"/>
          <w:lang w:val="ru-RU"/>
        </w:rPr>
      </w:pPr>
      <w:r w:rsidRPr="003C2FFE">
        <w:rPr>
          <w:b/>
          <w:color w:val="000000"/>
          <w:lang w:val="ru-RU"/>
        </w:rPr>
        <w:t>Инфляция, индекс потребительских цен (годовое изменение в</w:t>
      </w:r>
      <w:r>
        <w:rPr>
          <w:b/>
          <w:color w:val="000000"/>
          <w:lang w:val="ru-RU"/>
        </w:rPr>
        <w:t xml:space="preserve"> </w:t>
      </w:r>
      <w:r w:rsidRPr="003C2FFE">
        <w:rPr>
          <w:b/>
          <w:color w:val="000000"/>
          <w:lang w:val="ru-RU"/>
        </w:rPr>
        <w:t>%):</w:t>
      </w:r>
      <w:r w:rsidRPr="006F221A">
        <w:rPr>
          <w:color w:val="000000"/>
          <w:lang w:val="ru-RU"/>
        </w:rPr>
        <w:t xml:space="preserve"> индекс потребительских цен отражает изменения в стоимости для среднего потребителя приобретения корзины товаров и услуг, которые могут фиксироваться или изменяться через определенные интервалы, например, раз в год. Обычно используется формула </w:t>
      </w:r>
      <w:proofErr w:type="spellStart"/>
      <w:r w:rsidRPr="006F221A">
        <w:rPr>
          <w:color w:val="000000"/>
          <w:lang w:val="ru-RU"/>
        </w:rPr>
        <w:t>Ласпейреса</w:t>
      </w:r>
      <w:proofErr w:type="spellEnd"/>
      <w:r w:rsidRPr="006F221A">
        <w:rPr>
          <w:color w:val="000000"/>
          <w:lang w:val="ru-RU"/>
        </w:rPr>
        <w:t>. Данные являются средними за период. Источник: (Международный валютный фонд, Международная финансовая статистика и файлы данных).</w:t>
      </w:r>
    </w:p>
    <w:p w14:paraId="127BF424" w14:textId="77777777" w:rsidR="007518BC" w:rsidRDefault="007518BC" w:rsidP="007518BC">
      <w:pPr>
        <w:autoSpaceDE w:val="0"/>
        <w:autoSpaceDN w:val="0"/>
        <w:adjustRightInd w:val="0"/>
        <w:rPr>
          <w:color w:val="000000"/>
        </w:rPr>
      </w:pPr>
      <w:r w:rsidRPr="00D16566">
        <w:rPr>
          <w:b/>
          <w:color w:val="000000"/>
          <w:lang w:val="ru-RU"/>
        </w:rPr>
        <w:t>Безработица, всего (% от общей рабочей силы) (нац</w:t>
      </w:r>
      <w:r>
        <w:rPr>
          <w:b/>
          <w:color w:val="000000"/>
          <w:lang w:val="ru-RU"/>
        </w:rPr>
        <w:t>иональная оценка):</w:t>
      </w:r>
      <w:r w:rsidRPr="006F221A">
        <w:rPr>
          <w:color w:val="000000"/>
          <w:lang w:val="ru-RU"/>
        </w:rPr>
        <w:t xml:space="preserve"> Безработица - это доля рабочей силы, которая не имеет работы, но доступна и ищет работу. Определения рабочей силы и безработицы различаются в зависимости от страны. </w:t>
      </w:r>
      <w:proofErr w:type="spellStart"/>
      <w:r w:rsidRPr="006F221A">
        <w:rPr>
          <w:color w:val="000000"/>
        </w:rPr>
        <w:t>Источник</w:t>
      </w:r>
      <w:proofErr w:type="spellEnd"/>
      <w:r w:rsidRPr="006F221A">
        <w:rPr>
          <w:color w:val="000000"/>
        </w:rPr>
        <w:t>: (</w:t>
      </w:r>
      <w:proofErr w:type="spellStart"/>
      <w:r w:rsidRPr="006F221A">
        <w:rPr>
          <w:color w:val="000000"/>
        </w:rPr>
        <w:t>Международная</w:t>
      </w:r>
      <w:proofErr w:type="spellEnd"/>
      <w:r w:rsidRPr="006F221A">
        <w:rPr>
          <w:color w:val="000000"/>
        </w:rPr>
        <w:t xml:space="preserve"> </w:t>
      </w:r>
      <w:proofErr w:type="spellStart"/>
      <w:r w:rsidRPr="006F221A">
        <w:rPr>
          <w:color w:val="000000"/>
        </w:rPr>
        <w:t>организация</w:t>
      </w:r>
      <w:proofErr w:type="spellEnd"/>
      <w:r w:rsidRPr="006F221A">
        <w:rPr>
          <w:color w:val="000000"/>
        </w:rPr>
        <w:t xml:space="preserve"> </w:t>
      </w:r>
      <w:proofErr w:type="spellStart"/>
      <w:r w:rsidRPr="006F221A">
        <w:rPr>
          <w:color w:val="000000"/>
        </w:rPr>
        <w:t>труда</w:t>
      </w:r>
      <w:proofErr w:type="spellEnd"/>
      <w:r w:rsidRPr="006F221A">
        <w:rPr>
          <w:color w:val="000000"/>
        </w:rPr>
        <w:t xml:space="preserve">, </w:t>
      </w:r>
      <w:proofErr w:type="spellStart"/>
      <w:r w:rsidRPr="006F221A">
        <w:rPr>
          <w:color w:val="000000"/>
        </w:rPr>
        <w:t>база</w:t>
      </w:r>
      <w:proofErr w:type="spellEnd"/>
      <w:r w:rsidRPr="006F221A">
        <w:rPr>
          <w:color w:val="000000"/>
        </w:rPr>
        <w:t xml:space="preserve"> </w:t>
      </w:r>
      <w:proofErr w:type="spellStart"/>
      <w:r w:rsidRPr="006F221A">
        <w:rPr>
          <w:color w:val="000000"/>
        </w:rPr>
        <w:t>данных</w:t>
      </w:r>
      <w:proofErr w:type="spellEnd"/>
      <w:r w:rsidRPr="006F221A">
        <w:rPr>
          <w:color w:val="000000"/>
        </w:rPr>
        <w:t xml:space="preserve"> ILOSTAT).</w:t>
      </w:r>
    </w:p>
    <w:p w14:paraId="3851CF49" w14:textId="77777777" w:rsidR="007518BC" w:rsidRDefault="007518BC" w:rsidP="007518BC">
      <w:pPr>
        <w:shd w:val="clear" w:color="auto" w:fill="FFFFFF"/>
        <w:spacing w:after="240" w:line="240" w:lineRule="auto"/>
        <w:textAlignment w:val="baseline"/>
        <w:rPr>
          <w:sz w:val="24"/>
          <w:szCs w:val="24"/>
          <w:lang w:val="ru-RU"/>
        </w:rPr>
      </w:pPr>
      <w:r w:rsidRPr="00DE4D4C">
        <w:rPr>
          <w:b/>
          <w:color w:val="000000"/>
          <w:u w:val="single"/>
          <w:lang w:val="ru-RU"/>
        </w:rPr>
        <w:br w:type="page"/>
      </w:r>
    </w:p>
    <w:p w14:paraId="358A04ED" w14:textId="77777777" w:rsidR="007518BC" w:rsidRDefault="007518BC" w:rsidP="007518BC">
      <w:pPr>
        <w:rPr>
          <w:b/>
          <w:color w:val="000000"/>
          <w:u w:val="single"/>
        </w:rPr>
      </w:pPr>
    </w:p>
    <w:p w14:paraId="0AEBD709" w14:textId="77777777" w:rsidR="007518BC" w:rsidRDefault="007518BC" w:rsidP="007518BC">
      <w:pPr>
        <w:autoSpaceDE w:val="0"/>
        <w:autoSpaceDN w:val="0"/>
        <w:adjustRightInd w:val="0"/>
        <w:rPr>
          <w:color w:val="000000"/>
        </w:rPr>
      </w:pPr>
    </w:p>
    <w:tbl>
      <w:tblPr>
        <w:tblStyle w:val="TableGrid"/>
        <w:tblW w:w="0" w:type="auto"/>
        <w:tblLook w:val="04A0" w:firstRow="1" w:lastRow="0" w:firstColumn="1" w:lastColumn="0" w:noHBand="0" w:noVBand="1"/>
      </w:tblPr>
      <w:tblGrid>
        <w:gridCol w:w="9350"/>
      </w:tblGrid>
      <w:tr w:rsidR="007518BC" w:rsidRPr="007518BC" w14:paraId="1FBEB2E1" w14:textId="77777777" w:rsidTr="00386FBC">
        <w:tc>
          <w:tcPr>
            <w:tcW w:w="9350" w:type="dxa"/>
            <w:shd w:val="clear" w:color="auto" w:fill="DEEAF6" w:themeFill="accent1" w:themeFillTint="33"/>
          </w:tcPr>
          <w:p w14:paraId="14A52D11" w14:textId="77777777" w:rsidR="007518BC" w:rsidRPr="00F21977" w:rsidRDefault="007518BC" w:rsidP="00386FBC">
            <w:pPr>
              <w:autoSpaceDE w:val="0"/>
              <w:autoSpaceDN w:val="0"/>
              <w:adjustRightInd w:val="0"/>
              <w:rPr>
                <w:b/>
                <w:color w:val="000000"/>
                <w:lang w:val="ru-RU"/>
              </w:rPr>
            </w:pPr>
            <w:r w:rsidRPr="00F21977">
              <w:rPr>
                <w:b/>
                <w:color w:val="000000"/>
                <w:lang w:val="ru-RU"/>
              </w:rPr>
              <w:t>Единый набор контрольных макроэкономических показателей</w:t>
            </w:r>
          </w:p>
        </w:tc>
      </w:tr>
      <w:tr w:rsidR="007518BC" w:rsidRPr="007518BC" w14:paraId="650B78BA" w14:textId="77777777" w:rsidTr="00386FBC">
        <w:tc>
          <w:tcPr>
            <w:tcW w:w="9350" w:type="dxa"/>
          </w:tcPr>
          <w:p w14:paraId="71E12313" w14:textId="77777777" w:rsidR="007518BC" w:rsidRPr="00F21977" w:rsidRDefault="007518BC" w:rsidP="00386FBC">
            <w:pPr>
              <w:autoSpaceDE w:val="0"/>
              <w:autoSpaceDN w:val="0"/>
              <w:adjustRightInd w:val="0"/>
              <w:rPr>
                <w:color w:val="000000"/>
                <w:lang w:val="ru-RU"/>
              </w:rPr>
            </w:pPr>
          </w:p>
        </w:tc>
      </w:tr>
      <w:tr w:rsidR="007518BC" w:rsidRPr="00F21977" w14:paraId="5AA3730E" w14:textId="77777777" w:rsidTr="00386FBC">
        <w:tc>
          <w:tcPr>
            <w:tcW w:w="9350" w:type="dxa"/>
            <w:shd w:val="clear" w:color="auto" w:fill="DEEAF6" w:themeFill="accent1" w:themeFillTint="33"/>
          </w:tcPr>
          <w:p w14:paraId="042355E9" w14:textId="77777777" w:rsidR="007518BC" w:rsidRPr="00F21977" w:rsidRDefault="007518BC" w:rsidP="00386FBC">
            <w:pPr>
              <w:autoSpaceDE w:val="0"/>
              <w:autoSpaceDN w:val="0"/>
              <w:adjustRightInd w:val="0"/>
              <w:rPr>
                <w:b/>
                <w:color w:val="000000"/>
                <w:lang w:val="ru-RU"/>
              </w:rPr>
            </w:pPr>
            <w:r>
              <w:rPr>
                <w:b/>
                <w:color w:val="000000"/>
                <w:lang w:val="ru-RU"/>
              </w:rPr>
              <w:t>Показатели</w:t>
            </w:r>
          </w:p>
        </w:tc>
      </w:tr>
      <w:tr w:rsidR="007518BC" w:rsidRPr="00F21977" w14:paraId="4DE5A6D1" w14:textId="77777777" w:rsidTr="00386FBC">
        <w:tc>
          <w:tcPr>
            <w:tcW w:w="9350" w:type="dxa"/>
          </w:tcPr>
          <w:p w14:paraId="4B81CEC1" w14:textId="77777777" w:rsidR="007518BC" w:rsidRPr="00F21977" w:rsidRDefault="007518BC" w:rsidP="00386FBC">
            <w:pPr>
              <w:autoSpaceDE w:val="0"/>
              <w:autoSpaceDN w:val="0"/>
              <w:adjustRightInd w:val="0"/>
              <w:rPr>
                <w:b/>
                <w:color w:val="000000"/>
                <w:lang w:val="ru-RU"/>
              </w:rPr>
            </w:pPr>
            <w:r w:rsidRPr="00F21977">
              <w:rPr>
                <w:b/>
                <w:color w:val="000000"/>
                <w:lang w:val="ru-RU"/>
              </w:rPr>
              <w:t>Внешний сектор</w:t>
            </w:r>
          </w:p>
        </w:tc>
      </w:tr>
      <w:tr w:rsidR="007518BC" w:rsidRPr="00F21977" w14:paraId="182D1D9A" w14:textId="77777777" w:rsidTr="00386FBC">
        <w:tc>
          <w:tcPr>
            <w:tcW w:w="9350" w:type="dxa"/>
            <w:shd w:val="clear" w:color="auto" w:fill="DEEAF6" w:themeFill="accent1" w:themeFillTint="33"/>
          </w:tcPr>
          <w:p w14:paraId="7E3D7E8F" w14:textId="77777777" w:rsidR="007518BC" w:rsidRPr="00F21977" w:rsidRDefault="007518BC" w:rsidP="00386FBC">
            <w:pPr>
              <w:autoSpaceDE w:val="0"/>
              <w:autoSpaceDN w:val="0"/>
              <w:adjustRightInd w:val="0"/>
              <w:rPr>
                <w:color w:val="000000"/>
                <w:lang w:val="ru-RU"/>
              </w:rPr>
            </w:pPr>
            <w:r>
              <w:rPr>
                <w:color w:val="000000"/>
                <w:lang w:val="ru-RU"/>
              </w:rPr>
              <w:t>Товарная торговля (% от ВВП)</w:t>
            </w:r>
          </w:p>
        </w:tc>
      </w:tr>
      <w:tr w:rsidR="007518BC" w:rsidRPr="007518BC" w14:paraId="34278926" w14:textId="77777777" w:rsidTr="00386FBC">
        <w:tc>
          <w:tcPr>
            <w:tcW w:w="9350" w:type="dxa"/>
          </w:tcPr>
          <w:p w14:paraId="15D554EB" w14:textId="77777777" w:rsidR="007518BC" w:rsidRPr="00F21977" w:rsidRDefault="007518BC" w:rsidP="00386FBC">
            <w:pPr>
              <w:autoSpaceDE w:val="0"/>
              <w:autoSpaceDN w:val="0"/>
              <w:adjustRightInd w:val="0"/>
              <w:rPr>
                <w:color w:val="000000"/>
                <w:lang w:val="ru-RU"/>
              </w:rPr>
            </w:pPr>
            <w:r w:rsidRPr="00587CFD">
              <w:rPr>
                <w:color w:val="000000"/>
                <w:lang w:val="ru-RU"/>
              </w:rPr>
              <w:t xml:space="preserve">Личные денежные </w:t>
            </w:r>
            <w:r>
              <w:rPr>
                <w:color w:val="000000"/>
                <w:lang w:val="ru-RU"/>
              </w:rPr>
              <w:t>переводы, полученные (% от ВВП)</w:t>
            </w:r>
          </w:p>
        </w:tc>
      </w:tr>
      <w:tr w:rsidR="007518BC" w:rsidRPr="007518BC" w14:paraId="0912F9E1" w14:textId="77777777" w:rsidTr="00386FBC">
        <w:tc>
          <w:tcPr>
            <w:tcW w:w="9350" w:type="dxa"/>
            <w:shd w:val="clear" w:color="auto" w:fill="DEEAF6" w:themeFill="accent1" w:themeFillTint="33"/>
          </w:tcPr>
          <w:p w14:paraId="6BC53F1C" w14:textId="77777777" w:rsidR="007518BC" w:rsidRPr="00F21977" w:rsidRDefault="007518BC" w:rsidP="00386FBC">
            <w:pPr>
              <w:autoSpaceDE w:val="0"/>
              <w:autoSpaceDN w:val="0"/>
              <w:adjustRightInd w:val="0"/>
              <w:rPr>
                <w:color w:val="000000"/>
                <w:lang w:val="ru-RU"/>
              </w:rPr>
            </w:pPr>
            <w:r w:rsidRPr="00587CFD">
              <w:rPr>
                <w:color w:val="000000"/>
                <w:lang w:val="ru-RU"/>
              </w:rPr>
              <w:t>Сальдо по текущему счету (% от ВВП)</w:t>
            </w:r>
          </w:p>
        </w:tc>
      </w:tr>
      <w:tr w:rsidR="007518BC" w:rsidRPr="007518BC" w14:paraId="48466760" w14:textId="77777777" w:rsidTr="00386FBC">
        <w:tc>
          <w:tcPr>
            <w:tcW w:w="9350" w:type="dxa"/>
          </w:tcPr>
          <w:p w14:paraId="3808E503" w14:textId="77777777" w:rsidR="007518BC" w:rsidRPr="00F21977" w:rsidRDefault="007518BC" w:rsidP="00386FBC">
            <w:pPr>
              <w:autoSpaceDE w:val="0"/>
              <w:autoSpaceDN w:val="0"/>
              <w:adjustRightInd w:val="0"/>
              <w:rPr>
                <w:color w:val="000000"/>
                <w:lang w:val="ru-RU"/>
              </w:rPr>
            </w:pPr>
            <w:r w:rsidRPr="004C1DA1">
              <w:rPr>
                <w:color w:val="000000"/>
                <w:lang w:val="ru-RU"/>
              </w:rPr>
              <w:t>Прямые иностранные инвес</w:t>
            </w:r>
            <w:r>
              <w:rPr>
                <w:color w:val="000000"/>
                <w:lang w:val="ru-RU"/>
              </w:rPr>
              <w:t>тиции, чистый приток (% от ВВП)</w:t>
            </w:r>
          </w:p>
        </w:tc>
      </w:tr>
      <w:tr w:rsidR="007518BC" w:rsidRPr="00F21977" w14:paraId="11EDA1A8" w14:textId="77777777" w:rsidTr="00386FBC">
        <w:tc>
          <w:tcPr>
            <w:tcW w:w="9350" w:type="dxa"/>
            <w:shd w:val="clear" w:color="auto" w:fill="DEEAF6" w:themeFill="accent1" w:themeFillTint="33"/>
          </w:tcPr>
          <w:p w14:paraId="4FF8AC0F" w14:textId="77777777" w:rsidR="007518BC" w:rsidRPr="00F21977" w:rsidRDefault="007518BC" w:rsidP="00386FBC">
            <w:pPr>
              <w:autoSpaceDE w:val="0"/>
              <w:autoSpaceDN w:val="0"/>
              <w:adjustRightInd w:val="0"/>
              <w:rPr>
                <w:color w:val="000000"/>
                <w:lang w:val="ru-RU"/>
              </w:rPr>
            </w:pPr>
            <w:r w:rsidRPr="00B410D9">
              <w:rPr>
                <w:color w:val="000000"/>
                <w:lang w:val="ru-RU"/>
              </w:rPr>
              <w:t>Портфельные инвестиции, чистые (платежный ба</w:t>
            </w:r>
            <w:r>
              <w:rPr>
                <w:color w:val="000000"/>
                <w:lang w:val="ru-RU"/>
              </w:rPr>
              <w:t>ланс, текущие цены в долл. США)</w:t>
            </w:r>
          </w:p>
        </w:tc>
      </w:tr>
      <w:tr w:rsidR="007518BC" w:rsidRPr="007518BC" w14:paraId="382EA5F0" w14:textId="77777777" w:rsidTr="00386FBC">
        <w:tc>
          <w:tcPr>
            <w:tcW w:w="9350" w:type="dxa"/>
          </w:tcPr>
          <w:p w14:paraId="645F5437" w14:textId="77777777" w:rsidR="007518BC" w:rsidRPr="00F21977" w:rsidRDefault="007518BC" w:rsidP="00386FBC">
            <w:pPr>
              <w:autoSpaceDE w:val="0"/>
              <w:autoSpaceDN w:val="0"/>
              <w:adjustRightInd w:val="0"/>
              <w:rPr>
                <w:color w:val="000000"/>
                <w:lang w:val="ru-RU"/>
              </w:rPr>
            </w:pPr>
            <w:r w:rsidRPr="00871ADF">
              <w:rPr>
                <w:color w:val="000000"/>
                <w:lang w:val="ru-RU"/>
              </w:rPr>
              <w:t>Общие резервы в месяцах импорта</w:t>
            </w:r>
          </w:p>
        </w:tc>
      </w:tr>
      <w:tr w:rsidR="007518BC" w:rsidRPr="007518BC" w14:paraId="5E46C5FF" w14:textId="77777777" w:rsidTr="00386FBC">
        <w:tc>
          <w:tcPr>
            <w:tcW w:w="9350" w:type="dxa"/>
            <w:shd w:val="clear" w:color="auto" w:fill="DEEAF6" w:themeFill="accent1" w:themeFillTint="33"/>
          </w:tcPr>
          <w:p w14:paraId="70A0A780" w14:textId="77777777" w:rsidR="007518BC" w:rsidRPr="00F21977" w:rsidRDefault="007518BC" w:rsidP="00386FBC">
            <w:pPr>
              <w:autoSpaceDE w:val="0"/>
              <w:autoSpaceDN w:val="0"/>
              <w:adjustRightInd w:val="0"/>
              <w:rPr>
                <w:color w:val="000000"/>
                <w:lang w:val="ru-RU"/>
              </w:rPr>
            </w:pPr>
            <w:r w:rsidRPr="005776FF">
              <w:rPr>
                <w:color w:val="000000"/>
                <w:lang w:val="ru-RU"/>
              </w:rPr>
              <w:t>Обслуживание долга</w:t>
            </w:r>
            <w:r>
              <w:rPr>
                <w:color w:val="000000"/>
                <w:lang w:val="ru-RU"/>
              </w:rPr>
              <w:t xml:space="preserve"> на внешний долг, всего (5 от экспорта и первичного дохода)</w:t>
            </w:r>
          </w:p>
        </w:tc>
      </w:tr>
      <w:tr w:rsidR="007518BC" w:rsidRPr="007518BC" w14:paraId="512495F5" w14:textId="77777777" w:rsidTr="00386FBC">
        <w:tc>
          <w:tcPr>
            <w:tcW w:w="9350" w:type="dxa"/>
          </w:tcPr>
          <w:p w14:paraId="5C26A213" w14:textId="77777777" w:rsidR="007518BC" w:rsidRPr="00F21977" w:rsidRDefault="007518BC" w:rsidP="00386FBC">
            <w:pPr>
              <w:autoSpaceDE w:val="0"/>
              <w:autoSpaceDN w:val="0"/>
              <w:adjustRightInd w:val="0"/>
              <w:rPr>
                <w:color w:val="000000"/>
                <w:lang w:val="ru-RU"/>
              </w:rPr>
            </w:pPr>
            <w:r>
              <w:rPr>
                <w:color w:val="000000"/>
                <w:lang w:val="ru-RU"/>
              </w:rPr>
              <w:t>Общий внешний долг (% от ВНД)</w:t>
            </w:r>
          </w:p>
        </w:tc>
      </w:tr>
      <w:tr w:rsidR="007518BC" w:rsidRPr="00F21977" w14:paraId="3B06349B" w14:textId="77777777" w:rsidTr="00386FBC">
        <w:tc>
          <w:tcPr>
            <w:tcW w:w="9350" w:type="dxa"/>
            <w:shd w:val="clear" w:color="auto" w:fill="DEEAF6" w:themeFill="accent1" w:themeFillTint="33"/>
          </w:tcPr>
          <w:p w14:paraId="0399B6CB" w14:textId="77777777" w:rsidR="007518BC" w:rsidRPr="00F21977" w:rsidRDefault="007518BC" w:rsidP="00386FBC">
            <w:pPr>
              <w:autoSpaceDE w:val="0"/>
              <w:autoSpaceDN w:val="0"/>
              <w:adjustRightInd w:val="0"/>
              <w:rPr>
                <w:color w:val="000000"/>
                <w:lang w:val="ru-RU"/>
              </w:rPr>
            </w:pPr>
            <w:r w:rsidRPr="000C53BE">
              <w:rPr>
                <w:color w:val="000000"/>
                <w:lang w:val="ru-RU"/>
              </w:rPr>
              <w:t>Официальный обменный курс (местная валюта за д</w:t>
            </w:r>
            <w:r>
              <w:rPr>
                <w:color w:val="000000"/>
                <w:lang w:val="ru-RU"/>
              </w:rPr>
              <w:t>олл. США, среднегодовой период)</w:t>
            </w:r>
          </w:p>
        </w:tc>
      </w:tr>
      <w:tr w:rsidR="007518BC" w:rsidRPr="00F21977" w14:paraId="09D32235" w14:textId="77777777" w:rsidTr="00386FBC">
        <w:tc>
          <w:tcPr>
            <w:tcW w:w="9350" w:type="dxa"/>
          </w:tcPr>
          <w:p w14:paraId="781CF440" w14:textId="77777777" w:rsidR="007518BC" w:rsidRPr="00F21977" w:rsidRDefault="007518BC" w:rsidP="00386FBC">
            <w:pPr>
              <w:autoSpaceDE w:val="0"/>
              <w:autoSpaceDN w:val="0"/>
              <w:adjustRightInd w:val="0"/>
              <w:rPr>
                <w:color w:val="000000"/>
                <w:lang w:val="ru-RU"/>
              </w:rPr>
            </w:pPr>
          </w:p>
        </w:tc>
      </w:tr>
      <w:tr w:rsidR="007518BC" w:rsidRPr="00F21977" w14:paraId="74733989" w14:textId="77777777" w:rsidTr="00386FBC">
        <w:tc>
          <w:tcPr>
            <w:tcW w:w="9350" w:type="dxa"/>
            <w:shd w:val="clear" w:color="auto" w:fill="DEEAF6" w:themeFill="accent1" w:themeFillTint="33"/>
          </w:tcPr>
          <w:p w14:paraId="03D3EE8D" w14:textId="77777777" w:rsidR="007518BC" w:rsidRPr="005E2670" w:rsidRDefault="007518BC" w:rsidP="00386FBC">
            <w:pPr>
              <w:autoSpaceDE w:val="0"/>
              <w:autoSpaceDN w:val="0"/>
              <w:adjustRightInd w:val="0"/>
              <w:rPr>
                <w:b/>
                <w:color w:val="000000"/>
                <w:lang w:val="ru-RU"/>
              </w:rPr>
            </w:pPr>
            <w:r w:rsidRPr="005E2670">
              <w:rPr>
                <w:b/>
                <w:color w:val="000000"/>
                <w:lang w:val="ru-RU"/>
              </w:rPr>
              <w:t>Финансовый сектор</w:t>
            </w:r>
          </w:p>
        </w:tc>
      </w:tr>
      <w:tr w:rsidR="007518BC" w:rsidRPr="007518BC" w14:paraId="7810A187" w14:textId="77777777" w:rsidTr="00386FBC">
        <w:tc>
          <w:tcPr>
            <w:tcW w:w="9350" w:type="dxa"/>
          </w:tcPr>
          <w:p w14:paraId="03734452" w14:textId="77777777" w:rsidR="007518BC" w:rsidRPr="00F21977" w:rsidRDefault="007518BC" w:rsidP="00386FBC">
            <w:pPr>
              <w:autoSpaceDE w:val="0"/>
              <w:autoSpaceDN w:val="0"/>
              <w:adjustRightInd w:val="0"/>
              <w:rPr>
                <w:color w:val="000000"/>
                <w:lang w:val="ru-RU"/>
              </w:rPr>
            </w:pPr>
            <w:r w:rsidRPr="00046CA4">
              <w:rPr>
                <w:color w:val="000000"/>
                <w:lang w:val="ru-RU"/>
              </w:rPr>
              <w:t xml:space="preserve">Рост </w:t>
            </w:r>
            <w:r>
              <w:rPr>
                <w:color w:val="000000"/>
                <w:lang w:val="ru-RU"/>
              </w:rPr>
              <w:t>широких денег (годовой рост в %)</w:t>
            </w:r>
          </w:p>
        </w:tc>
      </w:tr>
      <w:tr w:rsidR="007518BC" w:rsidRPr="007518BC" w14:paraId="0DC8123B" w14:textId="77777777" w:rsidTr="00386FBC">
        <w:tc>
          <w:tcPr>
            <w:tcW w:w="9350" w:type="dxa"/>
            <w:shd w:val="clear" w:color="auto" w:fill="DEEAF6" w:themeFill="accent1" w:themeFillTint="33"/>
          </w:tcPr>
          <w:p w14:paraId="3111AA89" w14:textId="77777777" w:rsidR="007518BC" w:rsidRPr="00F21977" w:rsidRDefault="007518BC" w:rsidP="00386FBC">
            <w:pPr>
              <w:autoSpaceDE w:val="0"/>
              <w:autoSpaceDN w:val="0"/>
              <w:adjustRightInd w:val="0"/>
              <w:rPr>
                <w:color w:val="000000"/>
                <w:lang w:val="ru-RU"/>
              </w:rPr>
            </w:pPr>
            <w:r w:rsidRPr="00046CA4">
              <w:rPr>
                <w:color w:val="000000"/>
                <w:lang w:val="ru-RU"/>
              </w:rPr>
              <w:t>Соотношение широких денег и совокупных резервов</w:t>
            </w:r>
          </w:p>
        </w:tc>
      </w:tr>
      <w:tr w:rsidR="007518BC" w:rsidRPr="007518BC" w14:paraId="17D6B7BA" w14:textId="77777777" w:rsidTr="00386FBC">
        <w:tc>
          <w:tcPr>
            <w:tcW w:w="9350" w:type="dxa"/>
          </w:tcPr>
          <w:p w14:paraId="4F700759" w14:textId="77777777" w:rsidR="007518BC" w:rsidRPr="00F21977" w:rsidRDefault="007518BC" w:rsidP="00386FBC">
            <w:pPr>
              <w:autoSpaceDE w:val="0"/>
              <w:autoSpaceDN w:val="0"/>
              <w:adjustRightInd w:val="0"/>
              <w:rPr>
                <w:color w:val="000000"/>
                <w:lang w:val="ru-RU"/>
              </w:rPr>
            </w:pPr>
            <w:r w:rsidRPr="00046CA4">
              <w:rPr>
                <w:color w:val="000000"/>
                <w:lang w:val="ru-RU"/>
              </w:rPr>
              <w:t>Отношение необслуживаемых ссуд банков к общему о</w:t>
            </w:r>
            <w:r>
              <w:rPr>
                <w:color w:val="000000"/>
                <w:lang w:val="ru-RU"/>
              </w:rPr>
              <w:t>бъему выданных займов (%)</w:t>
            </w:r>
          </w:p>
        </w:tc>
      </w:tr>
      <w:tr w:rsidR="007518BC" w:rsidRPr="007518BC" w14:paraId="46C9F773" w14:textId="77777777" w:rsidTr="00386FBC">
        <w:tc>
          <w:tcPr>
            <w:tcW w:w="9350" w:type="dxa"/>
            <w:shd w:val="clear" w:color="auto" w:fill="DEEAF6" w:themeFill="accent1" w:themeFillTint="33"/>
          </w:tcPr>
          <w:p w14:paraId="23531E9B" w14:textId="77777777" w:rsidR="007518BC" w:rsidRPr="00F21977" w:rsidRDefault="007518BC" w:rsidP="00386FBC">
            <w:pPr>
              <w:autoSpaceDE w:val="0"/>
              <w:autoSpaceDN w:val="0"/>
              <w:adjustRightInd w:val="0"/>
              <w:rPr>
                <w:color w:val="000000"/>
                <w:lang w:val="ru-RU"/>
              </w:rPr>
            </w:pPr>
            <w:r w:rsidRPr="00046CA4">
              <w:rPr>
                <w:color w:val="000000"/>
                <w:lang w:val="ru-RU"/>
              </w:rPr>
              <w:t>Соотношение банковско</w:t>
            </w:r>
            <w:r>
              <w:rPr>
                <w:color w:val="000000"/>
                <w:lang w:val="ru-RU"/>
              </w:rPr>
              <w:t>го капитала и активов банка (%)</w:t>
            </w:r>
          </w:p>
        </w:tc>
      </w:tr>
      <w:tr w:rsidR="007518BC" w:rsidRPr="007518BC" w14:paraId="668B1EA5" w14:textId="77777777" w:rsidTr="00386FBC">
        <w:tc>
          <w:tcPr>
            <w:tcW w:w="9350" w:type="dxa"/>
          </w:tcPr>
          <w:p w14:paraId="4D26DA22" w14:textId="77777777" w:rsidR="007518BC" w:rsidRPr="00F21977" w:rsidRDefault="007518BC" w:rsidP="00386FBC">
            <w:pPr>
              <w:autoSpaceDE w:val="0"/>
              <w:autoSpaceDN w:val="0"/>
              <w:adjustRightInd w:val="0"/>
              <w:rPr>
                <w:color w:val="000000"/>
                <w:lang w:val="ru-RU"/>
              </w:rPr>
            </w:pPr>
          </w:p>
        </w:tc>
      </w:tr>
      <w:tr w:rsidR="007518BC" w:rsidRPr="00F21977" w14:paraId="28008870" w14:textId="77777777" w:rsidTr="00386FBC">
        <w:tc>
          <w:tcPr>
            <w:tcW w:w="9350" w:type="dxa"/>
            <w:shd w:val="clear" w:color="auto" w:fill="DEEAF6" w:themeFill="accent1" w:themeFillTint="33"/>
          </w:tcPr>
          <w:p w14:paraId="0223870C" w14:textId="77777777" w:rsidR="007518BC" w:rsidRPr="005E2670" w:rsidRDefault="007518BC" w:rsidP="00386FBC">
            <w:pPr>
              <w:autoSpaceDE w:val="0"/>
              <w:autoSpaceDN w:val="0"/>
              <w:adjustRightInd w:val="0"/>
              <w:rPr>
                <w:b/>
                <w:color w:val="000000"/>
                <w:lang w:val="ru-RU"/>
              </w:rPr>
            </w:pPr>
            <w:r w:rsidRPr="005E2670">
              <w:rPr>
                <w:b/>
                <w:color w:val="000000"/>
                <w:lang w:val="ru-RU"/>
              </w:rPr>
              <w:t>Фискальный сектор</w:t>
            </w:r>
          </w:p>
        </w:tc>
      </w:tr>
      <w:tr w:rsidR="007518BC" w:rsidRPr="00F21977" w14:paraId="1F9E6767" w14:textId="77777777" w:rsidTr="00386FBC">
        <w:tc>
          <w:tcPr>
            <w:tcW w:w="9350" w:type="dxa"/>
          </w:tcPr>
          <w:p w14:paraId="377F098E" w14:textId="77777777" w:rsidR="007518BC" w:rsidRPr="00F21977" w:rsidRDefault="007518BC" w:rsidP="00386FBC">
            <w:pPr>
              <w:autoSpaceDE w:val="0"/>
              <w:autoSpaceDN w:val="0"/>
              <w:adjustRightInd w:val="0"/>
              <w:rPr>
                <w:color w:val="000000"/>
                <w:lang w:val="ru-RU"/>
              </w:rPr>
            </w:pPr>
            <w:r w:rsidRPr="008237C0">
              <w:rPr>
                <w:color w:val="000000"/>
                <w:lang w:val="ru-RU"/>
              </w:rPr>
              <w:t>Н</w:t>
            </w:r>
            <w:r>
              <w:rPr>
                <w:color w:val="000000"/>
                <w:lang w:val="ru-RU"/>
              </w:rPr>
              <w:t>алоговые поступления (% от ВВП)</w:t>
            </w:r>
          </w:p>
        </w:tc>
      </w:tr>
      <w:tr w:rsidR="007518BC" w:rsidRPr="00F21977" w14:paraId="40B7D209" w14:textId="77777777" w:rsidTr="00386FBC">
        <w:tc>
          <w:tcPr>
            <w:tcW w:w="9350" w:type="dxa"/>
            <w:shd w:val="clear" w:color="auto" w:fill="DEEAF6" w:themeFill="accent1" w:themeFillTint="33"/>
          </w:tcPr>
          <w:p w14:paraId="1AF19397" w14:textId="77777777" w:rsidR="007518BC" w:rsidRPr="00F21977" w:rsidRDefault="007518BC" w:rsidP="00386FBC">
            <w:pPr>
              <w:autoSpaceDE w:val="0"/>
              <w:autoSpaceDN w:val="0"/>
              <w:adjustRightInd w:val="0"/>
              <w:rPr>
                <w:color w:val="000000"/>
                <w:lang w:val="ru-RU"/>
              </w:rPr>
            </w:pPr>
            <w:r w:rsidRPr="008237C0">
              <w:rPr>
                <w:color w:val="000000"/>
                <w:lang w:val="ru-RU"/>
              </w:rPr>
              <w:t xml:space="preserve">Общий </w:t>
            </w:r>
            <w:r>
              <w:rPr>
                <w:color w:val="000000"/>
                <w:lang w:val="ru-RU"/>
              </w:rPr>
              <w:t>фискальный баланс (% ВВП)</w:t>
            </w:r>
          </w:p>
        </w:tc>
      </w:tr>
      <w:tr w:rsidR="007518BC" w:rsidRPr="007518BC" w14:paraId="3E26B87C" w14:textId="77777777" w:rsidTr="00386FBC">
        <w:tc>
          <w:tcPr>
            <w:tcW w:w="9350" w:type="dxa"/>
          </w:tcPr>
          <w:p w14:paraId="6701765D" w14:textId="77777777" w:rsidR="007518BC" w:rsidRPr="00F21977" w:rsidRDefault="007518BC" w:rsidP="00386FBC">
            <w:pPr>
              <w:autoSpaceDE w:val="0"/>
              <w:autoSpaceDN w:val="0"/>
              <w:adjustRightInd w:val="0"/>
              <w:rPr>
                <w:color w:val="000000"/>
                <w:lang w:val="ru-RU"/>
              </w:rPr>
            </w:pPr>
            <w:r w:rsidRPr="009F6B14">
              <w:rPr>
                <w:color w:val="000000"/>
                <w:lang w:val="ru-RU"/>
              </w:rPr>
              <w:t>Валовой государственный долг D2 и го</w:t>
            </w:r>
            <w:r>
              <w:rPr>
                <w:color w:val="000000"/>
                <w:lang w:val="ru-RU"/>
              </w:rPr>
              <w:t>сударственный сектор (% от ВВП)</w:t>
            </w:r>
          </w:p>
        </w:tc>
      </w:tr>
      <w:tr w:rsidR="007518BC" w:rsidRPr="007518BC" w14:paraId="48325AE6" w14:textId="77777777" w:rsidTr="00386FBC">
        <w:tc>
          <w:tcPr>
            <w:tcW w:w="9350" w:type="dxa"/>
          </w:tcPr>
          <w:p w14:paraId="6E8039B2" w14:textId="77777777" w:rsidR="007518BC" w:rsidRPr="00F21977" w:rsidRDefault="007518BC" w:rsidP="00386FBC">
            <w:pPr>
              <w:autoSpaceDE w:val="0"/>
              <w:autoSpaceDN w:val="0"/>
              <w:adjustRightInd w:val="0"/>
              <w:rPr>
                <w:color w:val="000000"/>
                <w:lang w:val="ru-RU"/>
              </w:rPr>
            </w:pPr>
          </w:p>
        </w:tc>
      </w:tr>
      <w:tr w:rsidR="007518BC" w:rsidRPr="00F21977" w14:paraId="02B79218" w14:textId="77777777" w:rsidTr="00386FBC">
        <w:tc>
          <w:tcPr>
            <w:tcW w:w="9350" w:type="dxa"/>
          </w:tcPr>
          <w:p w14:paraId="4ED5FF7F" w14:textId="77777777" w:rsidR="007518BC" w:rsidRPr="00922147" w:rsidRDefault="007518BC" w:rsidP="00386FBC">
            <w:pPr>
              <w:autoSpaceDE w:val="0"/>
              <w:autoSpaceDN w:val="0"/>
              <w:adjustRightInd w:val="0"/>
              <w:rPr>
                <w:b/>
                <w:color w:val="000000"/>
                <w:lang w:val="ru-RU"/>
              </w:rPr>
            </w:pPr>
            <w:r w:rsidRPr="00922147">
              <w:rPr>
                <w:b/>
                <w:color w:val="000000"/>
                <w:lang w:val="ru-RU"/>
              </w:rPr>
              <w:t>Реальный сектор и цены</w:t>
            </w:r>
          </w:p>
        </w:tc>
      </w:tr>
      <w:tr w:rsidR="007518BC" w:rsidRPr="007518BC" w14:paraId="6FC0EA07" w14:textId="77777777" w:rsidTr="00386FBC">
        <w:tc>
          <w:tcPr>
            <w:tcW w:w="9350" w:type="dxa"/>
            <w:shd w:val="clear" w:color="auto" w:fill="DEEAF6" w:themeFill="accent1" w:themeFillTint="33"/>
          </w:tcPr>
          <w:p w14:paraId="576C45DC" w14:textId="77777777" w:rsidR="007518BC" w:rsidRPr="00F21977" w:rsidRDefault="007518BC" w:rsidP="00386FBC">
            <w:pPr>
              <w:autoSpaceDE w:val="0"/>
              <w:autoSpaceDN w:val="0"/>
              <w:adjustRightInd w:val="0"/>
              <w:rPr>
                <w:color w:val="000000"/>
                <w:lang w:val="ru-RU"/>
              </w:rPr>
            </w:pPr>
            <w:r w:rsidRPr="007C559F">
              <w:rPr>
                <w:color w:val="000000"/>
                <w:lang w:val="ru-RU"/>
              </w:rPr>
              <w:t>Валовой внутр</w:t>
            </w:r>
            <w:r>
              <w:rPr>
                <w:color w:val="000000"/>
                <w:lang w:val="ru-RU"/>
              </w:rPr>
              <w:t>енний продукт (годовой рост</w:t>
            </w:r>
            <w:r w:rsidRPr="007C559F">
              <w:rPr>
                <w:color w:val="000000"/>
                <w:lang w:val="ru-RU"/>
              </w:rPr>
              <w:t xml:space="preserve"> в</w:t>
            </w:r>
            <w:r>
              <w:rPr>
                <w:color w:val="000000"/>
                <w:lang w:val="ru-RU"/>
              </w:rPr>
              <w:t xml:space="preserve"> </w:t>
            </w:r>
            <w:r w:rsidRPr="007C559F">
              <w:rPr>
                <w:color w:val="000000"/>
                <w:lang w:val="ru-RU"/>
              </w:rPr>
              <w:t>%)</w:t>
            </w:r>
          </w:p>
        </w:tc>
      </w:tr>
      <w:tr w:rsidR="007518BC" w:rsidRPr="007518BC" w14:paraId="464E26D2" w14:textId="77777777" w:rsidTr="00386FBC">
        <w:tc>
          <w:tcPr>
            <w:tcW w:w="9350" w:type="dxa"/>
          </w:tcPr>
          <w:p w14:paraId="56DF0EF8" w14:textId="77777777" w:rsidR="007518BC" w:rsidRPr="00F21977" w:rsidRDefault="007518BC" w:rsidP="00386FBC">
            <w:pPr>
              <w:autoSpaceDE w:val="0"/>
              <w:autoSpaceDN w:val="0"/>
              <w:adjustRightInd w:val="0"/>
              <w:rPr>
                <w:color w:val="000000"/>
                <w:lang w:val="ru-RU"/>
              </w:rPr>
            </w:pPr>
            <w:r w:rsidRPr="00CF0F5B">
              <w:rPr>
                <w:color w:val="000000"/>
                <w:lang w:val="ru-RU"/>
              </w:rPr>
              <w:t>Валовое накоплен</w:t>
            </w:r>
            <w:r>
              <w:rPr>
                <w:color w:val="000000"/>
                <w:lang w:val="ru-RU"/>
              </w:rPr>
              <w:t>ие капитала (годовой рост</w:t>
            </w:r>
            <w:r w:rsidRPr="00CF0F5B">
              <w:rPr>
                <w:color w:val="000000"/>
                <w:lang w:val="ru-RU"/>
              </w:rPr>
              <w:t xml:space="preserve"> в</w:t>
            </w:r>
            <w:r>
              <w:rPr>
                <w:color w:val="000000"/>
                <w:lang w:val="ru-RU"/>
              </w:rPr>
              <w:t xml:space="preserve"> </w:t>
            </w:r>
            <w:r w:rsidRPr="00CF0F5B">
              <w:rPr>
                <w:color w:val="000000"/>
                <w:lang w:val="ru-RU"/>
              </w:rPr>
              <w:t>%):</w:t>
            </w:r>
          </w:p>
        </w:tc>
      </w:tr>
      <w:tr w:rsidR="007518BC" w:rsidRPr="007518BC" w14:paraId="4DEC81B8" w14:textId="77777777" w:rsidTr="00386FBC">
        <w:tc>
          <w:tcPr>
            <w:tcW w:w="9350" w:type="dxa"/>
            <w:shd w:val="clear" w:color="auto" w:fill="DEEAF6" w:themeFill="accent1" w:themeFillTint="33"/>
          </w:tcPr>
          <w:p w14:paraId="3F342141" w14:textId="77777777" w:rsidR="007518BC" w:rsidRPr="00F21977" w:rsidRDefault="007518BC" w:rsidP="00386FBC">
            <w:pPr>
              <w:autoSpaceDE w:val="0"/>
              <w:autoSpaceDN w:val="0"/>
              <w:adjustRightInd w:val="0"/>
              <w:rPr>
                <w:color w:val="000000"/>
                <w:lang w:val="ru-RU"/>
              </w:rPr>
            </w:pPr>
            <w:r w:rsidRPr="00B229F4">
              <w:rPr>
                <w:color w:val="000000"/>
                <w:lang w:val="ru-RU"/>
              </w:rPr>
              <w:t xml:space="preserve">Расходы домохозяйств на конечное </w:t>
            </w:r>
            <w:r>
              <w:rPr>
                <w:color w:val="000000"/>
                <w:lang w:val="ru-RU"/>
              </w:rPr>
              <w:t>потребление (годовой рост в %)</w:t>
            </w:r>
          </w:p>
        </w:tc>
      </w:tr>
      <w:tr w:rsidR="007518BC" w:rsidRPr="007518BC" w14:paraId="03F7574A" w14:textId="77777777" w:rsidTr="00386FBC">
        <w:tc>
          <w:tcPr>
            <w:tcW w:w="9350" w:type="dxa"/>
          </w:tcPr>
          <w:p w14:paraId="05395826" w14:textId="77777777" w:rsidR="007518BC" w:rsidRPr="00F21977" w:rsidRDefault="007518BC" w:rsidP="00386FBC">
            <w:pPr>
              <w:autoSpaceDE w:val="0"/>
              <w:autoSpaceDN w:val="0"/>
              <w:adjustRightInd w:val="0"/>
              <w:rPr>
                <w:color w:val="000000"/>
                <w:lang w:val="ru-RU"/>
              </w:rPr>
            </w:pPr>
            <w:r w:rsidRPr="000F35AD">
              <w:rPr>
                <w:color w:val="000000"/>
                <w:lang w:val="ru-RU"/>
              </w:rPr>
              <w:t>Расходы на конечное потребление сектора государственного управления (</w:t>
            </w:r>
            <w:r>
              <w:rPr>
                <w:color w:val="000000"/>
                <w:lang w:val="ru-RU"/>
              </w:rPr>
              <w:t>годовой рост</w:t>
            </w:r>
            <w:r w:rsidRPr="000F35AD">
              <w:rPr>
                <w:color w:val="000000"/>
                <w:lang w:val="ru-RU"/>
              </w:rPr>
              <w:t xml:space="preserve"> в</w:t>
            </w:r>
            <w:r>
              <w:rPr>
                <w:color w:val="000000"/>
                <w:lang w:val="ru-RU"/>
              </w:rPr>
              <w:t xml:space="preserve"> </w:t>
            </w:r>
            <w:r w:rsidRPr="000F35AD">
              <w:rPr>
                <w:color w:val="000000"/>
                <w:lang w:val="ru-RU"/>
              </w:rPr>
              <w:t>%).</w:t>
            </w:r>
          </w:p>
        </w:tc>
      </w:tr>
      <w:tr w:rsidR="007518BC" w:rsidRPr="007518BC" w14:paraId="1DA1DB28" w14:textId="77777777" w:rsidTr="00386FBC">
        <w:tc>
          <w:tcPr>
            <w:tcW w:w="9350" w:type="dxa"/>
            <w:shd w:val="clear" w:color="auto" w:fill="DEEAF6" w:themeFill="accent1" w:themeFillTint="33"/>
          </w:tcPr>
          <w:p w14:paraId="42DC6F2D" w14:textId="77777777" w:rsidR="007518BC" w:rsidRPr="00F21977" w:rsidRDefault="007518BC" w:rsidP="00386FBC">
            <w:pPr>
              <w:autoSpaceDE w:val="0"/>
              <w:autoSpaceDN w:val="0"/>
              <w:adjustRightInd w:val="0"/>
              <w:rPr>
                <w:color w:val="000000"/>
                <w:lang w:val="ru-RU"/>
              </w:rPr>
            </w:pPr>
            <w:r w:rsidRPr="00F8015B">
              <w:rPr>
                <w:color w:val="000000"/>
                <w:lang w:val="ru-RU"/>
              </w:rPr>
              <w:t xml:space="preserve">Экспорт товаров </w:t>
            </w:r>
            <w:r>
              <w:rPr>
                <w:color w:val="000000"/>
                <w:lang w:val="ru-RU"/>
              </w:rPr>
              <w:t>и услуг (годовой рост в %)</w:t>
            </w:r>
          </w:p>
        </w:tc>
      </w:tr>
      <w:tr w:rsidR="007518BC" w:rsidRPr="007518BC" w14:paraId="5E8C20F5" w14:textId="77777777" w:rsidTr="00386FBC">
        <w:tc>
          <w:tcPr>
            <w:tcW w:w="9350" w:type="dxa"/>
          </w:tcPr>
          <w:p w14:paraId="65613DC8" w14:textId="77777777" w:rsidR="007518BC" w:rsidRPr="00F21977" w:rsidRDefault="007518BC" w:rsidP="00386FBC">
            <w:pPr>
              <w:autoSpaceDE w:val="0"/>
              <w:autoSpaceDN w:val="0"/>
              <w:adjustRightInd w:val="0"/>
              <w:rPr>
                <w:color w:val="000000"/>
                <w:lang w:val="ru-RU"/>
              </w:rPr>
            </w:pPr>
            <w:r w:rsidRPr="00F8015B">
              <w:rPr>
                <w:color w:val="000000"/>
                <w:lang w:val="ru-RU"/>
              </w:rPr>
              <w:t>Импорт товаров и услуг (</w:t>
            </w:r>
            <w:r>
              <w:rPr>
                <w:color w:val="000000"/>
                <w:lang w:val="ru-RU"/>
              </w:rPr>
              <w:t>годовой рост</w:t>
            </w:r>
            <w:r w:rsidRPr="00F8015B">
              <w:rPr>
                <w:color w:val="000000"/>
                <w:lang w:val="ru-RU"/>
              </w:rPr>
              <w:t xml:space="preserve"> в</w:t>
            </w:r>
            <w:r>
              <w:rPr>
                <w:color w:val="000000"/>
                <w:lang w:val="ru-RU"/>
              </w:rPr>
              <w:t xml:space="preserve"> </w:t>
            </w:r>
            <w:r w:rsidRPr="00F8015B">
              <w:rPr>
                <w:color w:val="000000"/>
                <w:lang w:val="ru-RU"/>
              </w:rPr>
              <w:t>%).</w:t>
            </w:r>
          </w:p>
        </w:tc>
      </w:tr>
      <w:tr w:rsidR="007518BC" w:rsidRPr="007518BC" w14:paraId="6AB197EB" w14:textId="77777777" w:rsidTr="00386FBC">
        <w:tc>
          <w:tcPr>
            <w:tcW w:w="9350" w:type="dxa"/>
            <w:shd w:val="clear" w:color="auto" w:fill="DEEAF6" w:themeFill="accent1" w:themeFillTint="33"/>
          </w:tcPr>
          <w:p w14:paraId="40D94825" w14:textId="77777777" w:rsidR="007518BC" w:rsidRPr="00F21977" w:rsidRDefault="007518BC" w:rsidP="00386FBC">
            <w:pPr>
              <w:autoSpaceDE w:val="0"/>
              <w:autoSpaceDN w:val="0"/>
              <w:adjustRightInd w:val="0"/>
              <w:rPr>
                <w:color w:val="000000"/>
                <w:lang w:val="ru-RU"/>
              </w:rPr>
            </w:pPr>
          </w:p>
        </w:tc>
      </w:tr>
      <w:tr w:rsidR="007518BC" w:rsidRPr="007518BC" w14:paraId="2C515EE1" w14:textId="77777777" w:rsidTr="00386FBC">
        <w:tc>
          <w:tcPr>
            <w:tcW w:w="9350" w:type="dxa"/>
          </w:tcPr>
          <w:p w14:paraId="3A1E0277" w14:textId="77777777" w:rsidR="007518BC" w:rsidRPr="00F21977" w:rsidRDefault="007518BC" w:rsidP="00386FBC">
            <w:pPr>
              <w:autoSpaceDE w:val="0"/>
              <w:autoSpaceDN w:val="0"/>
              <w:adjustRightInd w:val="0"/>
              <w:rPr>
                <w:color w:val="000000"/>
                <w:lang w:val="ru-RU"/>
              </w:rPr>
            </w:pPr>
            <w:r w:rsidRPr="001E006A">
              <w:rPr>
                <w:color w:val="000000"/>
                <w:lang w:val="ru-RU"/>
              </w:rPr>
              <w:t>Инфляция, индекс потребительских цен (годовое изменение в</w:t>
            </w:r>
            <w:r>
              <w:rPr>
                <w:color w:val="000000"/>
                <w:lang w:val="ru-RU"/>
              </w:rPr>
              <w:t xml:space="preserve"> </w:t>
            </w:r>
            <w:r w:rsidRPr="001E006A">
              <w:rPr>
                <w:color w:val="000000"/>
                <w:lang w:val="ru-RU"/>
              </w:rPr>
              <w:t>%):</w:t>
            </w:r>
          </w:p>
        </w:tc>
      </w:tr>
      <w:tr w:rsidR="007518BC" w:rsidRPr="007518BC" w14:paraId="655814E0" w14:textId="77777777" w:rsidTr="00386FBC">
        <w:tc>
          <w:tcPr>
            <w:tcW w:w="9350" w:type="dxa"/>
            <w:shd w:val="clear" w:color="auto" w:fill="DEEAF6" w:themeFill="accent1" w:themeFillTint="33"/>
          </w:tcPr>
          <w:p w14:paraId="48B1BACD" w14:textId="77777777" w:rsidR="007518BC" w:rsidRPr="00F21977" w:rsidRDefault="007518BC" w:rsidP="00386FBC">
            <w:pPr>
              <w:autoSpaceDE w:val="0"/>
              <w:autoSpaceDN w:val="0"/>
              <w:adjustRightInd w:val="0"/>
              <w:rPr>
                <w:color w:val="000000"/>
                <w:lang w:val="ru-RU"/>
              </w:rPr>
            </w:pPr>
            <w:r>
              <w:rPr>
                <w:color w:val="000000"/>
                <w:lang w:val="ru-RU"/>
              </w:rPr>
              <w:t>Цены на товарно-сырьевые ресурсы (экспорт/импорт)</w:t>
            </w:r>
          </w:p>
        </w:tc>
      </w:tr>
      <w:tr w:rsidR="007518BC" w:rsidRPr="00F21977" w14:paraId="65DEEA35" w14:textId="77777777" w:rsidTr="00386FBC">
        <w:tc>
          <w:tcPr>
            <w:tcW w:w="9350" w:type="dxa"/>
          </w:tcPr>
          <w:p w14:paraId="7F25BD5F" w14:textId="77777777" w:rsidR="007518BC" w:rsidRPr="00F21977" w:rsidRDefault="007518BC" w:rsidP="00386FBC">
            <w:pPr>
              <w:autoSpaceDE w:val="0"/>
              <w:autoSpaceDN w:val="0"/>
              <w:adjustRightInd w:val="0"/>
              <w:rPr>
                <w:color w:val="000000"/>
                <w:lang w:val="ru-RU"/>
              </w:rPr>
            </w:pPr>
            <w:r>
              <w:rPr>
                <w:color w:val="000000"/>
                <w:lang w:val="ru-RU"/>
              </w:rPr>
              <w:t>Нефть</w:t>
            </w:r>
          </w:p>
        </w:tc>
      </w:tr>
      <w:tr w:rsidR="007518BC" w:rsidRPr="00F21977" w14:paraId="307BB5DF" w14:textId="77777777" w:rsidTr="00386FBC">
        <w:tc>
          <w:tcPr>
            <w:tcW w:w="9350" w:type="dxa"/>
            <w:shd w:val="clear" w:color="auto" w:fill="DEEAF6" w:themeFill="accent1" w:themeFillTint="33"/>
          </w:tcPr>
          <w:p w14:paraId="33CBE778" w14:textId="77777777" w:rsidR="007518BC" w:rsidRPr="00F21977" w:rsidRDefault="007518BC" w:rsidP="00386FBC">
            <w:pPr>
              <w:autoSpaceDE w:val="0"/>
              <w:autoSpaceDN w:val="0"/>
              <w:adjustRightInd w:val="0"/>
              <w:rPr>
                <w:color w:val="000000"/>
                <w:lang w:val="ru-RU"/>
              </w:rPr>
            </w:pPr>
            <w:r>
              <w:rPr>
                <w:color w:val="000000"/>
                <w:lang w:val="ru-RU"/>
              </w:rPr>
              <w:t>Товар 2</w:t>
            </w:r>
          </w:p>
        </w:tc>
      </w:tr>
      <w:tr w:rsidR="007518BC" w:rsidRPr="00F21977" w14:paraId="45194471" w14:textId="77777777" w:rsidTr="00386FBC">
        <w:tc>
          <w:tcPr>
            <w:tcW w:w="9350" w:type="dxa"/>
          </w:tcPr>
          <w:p w14:paraId="14FCE63C" w14:textId="77777777" w:rsidR="007518BC" w:rsidRPr="00F21977" w:rsidRDefault="007518BC" w:rsidP="00386FBC">
            <w:pPr>
              <w:autoSpaceDE w:val="0"/>
              <w:autoSpaceDN w:val="0"/>
              <w:adjustRightInd w:val="0"/>
              <w:rPr>
                <w:color w:val="000000"/>
                <w:lang w:val="ru-RU"/>
              </w:rPr>
            </w:pPr>
            <w:r>
              <w:rPr>
                <w:color w:val="000000"/>
                <w:lang w:val="ru-RU"/>
              </w:rPr>
              <w:t>Товар 3</w:t>
            </w:r>
          </w:p>
        </w:tc>
      </w:tr>
      <w:tr w:rsidR="007518BC" w:rsidRPr="00F21977" w14:paraId="0692734B" w14:textId="77777777" w:rsidTr="00386FBC">
        <w:tc>
          <w:tcPr>
            <w:tcW w:w="9350" w:type="dxa"/>
            <w:shd w:val="clear" w:color="auto" w:fill="DEEAF6" w:themeFill="accent1" w:themeFillTint="33"/>
          </w:tcPr>
          <w:p w14:paraId="7563892D" w14:textId="77777777" w:rsidR="007518BC" w:rsidRPr="00F21977" w:rsidRDefault="007518BC" w:rsidP="00386FBC">
            <w:pPr>
              <w:autoSpaceDE w:val="0"/>
              <w:autoSpaceDN w:val="0"/>
              <w:adjustRightInd w:val="0"/>
              <w:rPr>
                <w:color w:val="000000"/>
                <w:lang w:val="ru-RU"/>
              </w:rPr>
            </w:pPr>
            <w:r>
              <w:rPr>
                <w:color w:val="000000"/>
                <w:lang w:val="ru-RU"/>
              </w:rPr>
              <w:t>Товар 4</w:t>
            </w:r>
          </w:p>
        </w:tc>
      </w:tr>
      <w:tr w:rsidR="007518BC" w:rsidRPr="00F21977" w14:paraId="1785ED0D" w14:textId="77777777" w:rsidTr="00386FBC">
        <w:tc>
          <w:tcPr>
            <w:tcW w:w="9350" w:type="dxa"/>
          </w:tcPr>
          <w:p w14:paraId="3B5DC61C" w14:textId="77777777" w:rsidR="007518BC" w:rsidRPr="00F21977" w:rsidRDefault="007518BC" w:rsidP="00386FBC">
            <w:pPr>
              <w:autoSpaceDE w:val="0"/>
              <w:autoSpaceDN w:val="0"/>
              <w:adjustRightInd w:val="0"/>
              <w:rPr>
                <w:color w:val="000000"/>
                <w:lang w:val="ru-RU"/>
              </w:rPr>
            </w:pPr>
            <w:r>
              <w:rPr>
                <w:color w:val="000000"/>
                <w:lang w:val="ru-RU"/>
              </w:rPr>
              <w:t>Товар 5</w:t>
            </w:r>
          </w:p>
        </w:tc>
      </w:tr>
      <w:tr w:rsidR="007518BC" w:rsidRPr="00F21977" w14:paraId="49418125" w14:textId="77777777" w:rsidTr="00386FBC">
        <w:tc>
          <w:tcPr>
            <w:tcW w:w="9350" w:type="dxa"/>
            <w:shd w:val="clear" w:color="auto" w:fill="DEEAF6" w:themeFill="accent1" w:themeFillTint="33"/>
          </w:tcPr>
          <w:p w14:paraId="07E3CD24" w14:textId="77777777" w:rsidR="007518BC" w:rsidRPr="00F21977" w:rsidRDefault="007518BC" w:rsidP="00386FBC">
            <w:pPr>
              <w:autoSpaceDE w:val="0"/>
              <w:autoSpaceDN w:val="0"/>
              <w:adjustRightInd w:val="0"/>
              <w:rPr>
                <w:color w:val="000000"/>
                <w:lang w:val="ru-RU"/>
              </w:rPr>
            </w:pPr>
          </w:p>
        </w:tc>
      </w:tr>
      <w:tr w:rsidR="007518BC" w:rsidRPr="00F21977" w14:paraId="4B7B154F" w14:textId="77777777" w:rsidTr="00386FBC">
        <w:tc>
          <w:tcPr>
            <w:tcW w:w="9350" w:type="dxa"/>
          </w:tcPr>
          <w:p w14:paraId="71044294" w14:textId="77777777" w:rsidR="007518BC" w:rsidRPr="00F21977" w:rsidRDefault="007518BC" w:rsidP="00386FBC">
            <w:pPr>
              <w:autoSpaceDE w:val="0"/>
              <w:autoSpaceDN w:val="0"/>
              <w:adjustRightInd w:val="0"/>
              <w:rPr>
                <w:color w:val="000000"/>
                <w:lang w:val="ru-RU"/>
              </w:rPr>
            </w:pPr>
            <w:r>
              <w:rPr>
                <w:color w:val="000000"/>
                <w:lang w:val="ru-RU"/>
              </w:rPr>
              <w:t>Безработица</w:t>
            </w:r>
          </w:p>
        </w:tc>
      </w:tr>
      <w:tr w:rsidR="007518BC" w:rsidRPr="00F21977" w14:paraId="6D99C78E" w14:textId="77777777" w:rsidTr="00386FBC">
        <w:tc>
          <w:tcPr>
            <w:tcW w:w="9350" w:type="dxa"/>
            <w:shd w:val="clear" w:color="auto" w:fill="DEEAF6" w:themeFill="accent1" w:themeFillTint="33"/>
          </w:tcPr>
          <w:p w14:paraId="4BED671E" w14:textId="77777777" w:rsidR="007518BC" w:rsidRPr="00F21977" w:rsidRDefault="007518BC" w:rsidP="00386FBC">
            <w:pPr>
              <w:autoSpaceDE w:val="0"/>
              <w:autoSpaceDN w:val="0"/>
              <w:adjustRightInd w:val="0"/>
              <w:rPr>
                <w:color w:val="000000"/>
                <w:lang w:val="ru-RU"/>
              </w:rPr>
            </w:pPr>
            <w:r>
              <w:rPr>
                <w:color w:val="000000"/>
                <w:lang w:val="ru-RU"/>
              </w:rPr>
              <w:t>Уровень безработицы (%)</w:t>
            </w:r>
          </w:p>
        </w:tc>
      </w:tr>
    </w:tbl>
    <w:p w14:paraId="1506EB99" w14:textId="52692B60" w:rsidR="00A3677A" w:rsidRPr="007518BC" w:rsidRDefault="00A3677A" w:rsidP="007518BC">
      <w:bookmarkStart w:id="0" w:name="_GoBack"/>
      <w:bookmarkEnd w:id="0"/>
    </w:p>
    <w:sectPr w:rsidR="00A3677A" w:rsidRPr="007518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30BA" w14:textId="77777777" w:rsidR="00D71940" w:rsidRDefault="00D71940" w:rsidP="00FF1234">
      <w:pPr>
        <w:spacing w:after="0" w:line="240" w:lineRule="auto"/>
      </w:pPr>
      <w:r>
        <w:separator/>
      </w:r>
    </w:p>
  </w:endnote>
  <w:endnote w:type="continuationSeparator" w:id="0">
    <w:p w14:paraId="01F31AA7" w14:textId="77777777" w:rsidR="00D71940" w:rsidRDefault="00D71940" w:rsidP="00FF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BT-Light">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E2E55" w14:textId="77777777" w:rsidR="00D71940" w:rsidRDefault="00D71940" w:rsidP="00FF1234">
      <w:pPr>
        <w:spacing w:after="0" w:line="240" w:lineRule="auto"/>
      </w:pPr>
      <w:r>
        <w:separator/>
      </w:r>
    </w:p>
  </w:footnote>
  <w:footnote w:type="continuationSeparator" w:id="0">
    <w:p w14:paraId="48B6DE60" w14:textId="77777777" w:rsidR="00D71940" w:rsidRDefault="00D71940" w:rsidP="00FF1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3AA3" w14:textId="2A9A26B0" w:rsidR="00FF1234" w:rsidRPr="00757E8A" w:rsidRDefault="00FF1234" w:rsidP="00FF1234">
    <w:pPr>
      <w:pStyle w:val="Header"/>
      <w:jc w:val="right"/>
      <w:rPr>
        <w:color w:val="404040" w:themeColor="text1" w:themeTint="BF"/>
        <w:sz w:val="18"/>
        <w:szCs w:val="18"/>
      </w:rPr>
    </w:pPr>
    <w:bookmarkStart w:id="1" w:name="_Hlk506197003"/>
    <w:bookmarkStart w:id="2" w:name="_Hlk506197004"/>
    <w:bookmarkStart w:id="3" w:name="_Hlk506197005"/>
    <w:bookmarkStart w:id="4" w:name="_Hlk516233502"/>
    <w:bookmarkStart w:id="5" w:name="_Hlk516233503"/>
    <w:bookmarkStart w:id="6" w:name="_Hlk516233504"/>
    <w:r w:rsidRPr="00757E8A">
      <w:rPr>
        <w:color w:val="404040" w:themeColor="text1" w:themeTint="BF"/>
        <w:sz w:val="18"/>
        <w:szCs w:val="18"/>
      </w:rPr>
      <w:t xml:space="preserve">Last updated: </w:t>
    </w:r>
    <w:r>
      <w:rPr>
        <w:noProof/>
        <w:color w:val="404040" w:themeColor="text1" w:themeTint="BF"/>
        <w:sz w:val="18"/>
        <w:szCs w:val="18"/>
      </w:rPr>
      <w:t>November 2018</w:t>
    </w:r>
    <w:bookmarkEnd w:id="1"/>
    <w:bookmarkEnd w:id="2"/>
    <w:bookmarkEnd w:id="3"/>
    <w:bookmarkEnd w:id="4"/>
    <w:bookmarkEnd w:id="5"/>
    <w:bookmarkEnd w:id="6"/>
  </w:p>
  <w:p w14:paraId="0D012305" w14:textId="77777777" w:rsidR="00FF1234" w:rsidRDefault="00FF1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CC"/>
    <w:rsid w:val="000108E1"/>
    <w:rsid w:val="00020985"/>
    <w:rsid w:val="000267D1"/>
    <w:rsid w:val="00026DC8"/>
    <w:rsid w:val="000370ED"/>
    <w:rsid w:val="00042E12"/>
    <w:rsid w:val="00046CA4"/>
    <w:rsid w:val="000521B1"/>
    <w:rsid w:val="0005367D"/>
    <w:rsid w:val="000601BE"/>
    <w:rsid w:val="00064219"/>
    <w:rsid w:val="000654FA"/>
    <w:rsid w:val="00065C23"/>
    <w:rsid w:val="00073348"/>
    <w:rsid w:val="00082401"/>
    <w:rsid w:val="00084CE0"/>
    <w:rsid w:val="00087043"/>
    <w:rsid w:val="00090A52"/>
    <w:rsid w:val="000A5B2C"/>
    <w:rsid w:val="000B05BB"/>
    <w:rsid w:val="000B356B"/>
    <w:rsid w:val="000B6971"/>
    <w:rsid w:val="000C1E43"/>
    <w:rsid w:val="000C53BE"/>
    <w:rsid w:val="000C66A5"/>
    <w:rsid w:val="000C7B32"/>
    <w:rsid w:val="000C7C95"/>
    <w:rsid w:val="000D42F3"/>
    <w:rsid w:val="000E2756"/>
    <w:rsid w:val="000E7613"/>
    <w:rsid w:val="000F35AD"/>
    <w:rsid w:val="00113B97"/>
    <w:rsid w:val="00117AF3"/>
    <w:rsid w:val="00127E74"/>
    <w:rsid w:val="0013422C"/>
    <w:rsid w:val="00144A50"/>
    <w:rsid w:val="00157625"/>
    <w:rsid w:val="00166DFF"/>
    <w:rsid w:val="00171000"/>
    <w:rsid w:val="00187EBE"/>
    <w:rsid w:val="001B7EFA"/>
    <w:rsid w:val="001C0561"/>
    <w:rsid w:val="001D0D22"/>
    <w:rsid w:val="001E006A"/>
    <w:rsid w:val="001E2205"/>
    <w:rsid w:val="001F59ED"/>
    <w:rsid w:val="00207262"/>
    <w:rsid w:val="00211853"/>
    <w:rsid w:val="0022051C"/>
    <w:rsid w:val="00221892"/>
    <w:rsid w:val="00236454"/>
    <w:rsid w:val="00240CCA"/>
    <w:rsid w:val="002417CA"/>
    <w:rsid w:val="00247C2F"/>
    <w:rsid w:val="002545DA"/>
    <w:rsid w:val="00263C55"/>
    <w:rsid w:val="002846E4"/>
    <w:rsid w:val="00287706"/>
    <w:rsid w:val="002D39B3"/>
    <w:rsid w:val="002D7C19"/>
    <w:rsid w:val="002E6BAF"/>
    <w:rsid w:val="002E7B40"/>
    <w:rsid w:val="002F04D7"/>
    <w:rsid w:val="002F4AEC"/>
    <w:rsid w:val="0030018B"/>
    <w:rsid w:val="00320DE1"/>
    <w:rsid w:val="00321F6D"/>
    <w:rsid w:val="00325936"/>
    <w:rsid w:val="0034496B"/>
    <w:rsid w:val="0039510D"/>
    <w:rsid w:val="0039699F"/>
    <w:rsid w:val="003A3486"/>
    <w:rsid w:val="003C13AE"/>
    <w:rsid w:val="003C2FFE"/>
    <w:rsid w:val="003D15D6"/>
    <w:rsid w:val="00413A4B"/>
    <w:rsid w:val="004146F5"/>
    <w:rsid w:val="004200B6"/>
    <w:rsid w:val="0042296F"/>
    <w:rsid w:val="00431FA8"/>
    <w:rsid w:val="0045402C"/>
    <w:rsid w:val="004743B5"/>
    <w:rsid w:val="00483266"/>
    <w:rsid w:val="00490565"/>
    <w:rsid w:val="004C0067"/>
    <w:rsid w:val="004C122C"/>
    <w:rsid w:val="004C1760"/>
    <w:rsid w:val="004C1DA1"/>
    <w:rsid w:val="004E02A1"/>
    <w:rsid w:val="004E6D71"/>
    <w:rsid w:val="004E713D"/>
    <w:rsid w:val="004F1D99"/>
    <w:rsid w:val="005004F5"/>
    <w:rsid w:val="00503971"/>
    <w:rsid w:val="00507BF0"/>
    <w:rsid w:val="0052432A"/>
    <w:rsid w:val="00533AF9"/>
    <w:rsid w:val="00541D83"/>
    <w:rsid w:val="00563E4C"/>
    <w:rsid w:val="005776FF"/>
    <w:rsid w:val="00581710"/>
    <w:rsid w:val="00582958"/>
    <w:rsid w:val="00587CFD"/>
    <w:rsid w:val="005A4332"/>
    <w:rsid w:val="005A66EA"/>
    <w:rsid w:val="005B4B29"/>
    <w:rsid w:val="005C2895"/>
    <w:rsid w:val="005C704B"/>
    <w:rsid w:val="005D481D"/>
    <w:rsid w:val="005E2670"/>
    <w:rsid w:val="00601349"/>
    <w:rsid w:val="006158B3"/>
    <w:rsid w:val="00616CF1"/>
    <w:rsid w:val="006339DF"/>
    <w:rsid w:val="0063553F"/>
    <w:rsid w:val="00642E96"/>
    <w:rsid w:val="00646009"/>
    <w:rsid w:val="006528D2"/>
    <w:rsid w:val="00652C89"/>
    <w:rsid w:val="00654A03"/>
    <w:rsid w:val="00664D73"/>
    <w:rsid w:val="006739F6"/>
    <w:rsid w:val="00681D0F"/>
    <w:rsid w:val="00681FE4"/>
    <w:rsid w:val="006A3CFB"/>
    <w:rsid w:val="006B482E"/>
    <w:rsid w:val="006B5B7E"/>
    <w:rsid w:val="006D3B6C"/>
    <w:rsid w:val="006E7214"/>
    <w:rsid w:val="006F221A"/>
    <w:rsid w:val="00700435"/>
    <w:rsid w:val="0070190F"/>
    <w:rsid w:val="00703902"/>
    <w:rsid w:val="00714A31"/>
    <w:rsid w:val="00715A12"/>
    <w:rsid w:val="00720A3D"/>
    <w:rsid w:val="00723B86"/>
    <w:rsid w:val="00727235"/>
    <w:rsid w:val="00727881"/>
    <w:rsid w:val="00732D74"/>
    <w:rsid w:val="00750A7D"/>
    <w:rsid w:val="007518BC"/>
    <w:rsid w:val="00766093"/>
    <w:rsid w:val="00767A3D"/>
    <w:rsid w:val="007744C1"/>
    <w:rsid w:val="00775B03"/>
    <w:rsid w:val="00795D84"/>
    <w:rsid w:val="007960ED"/>
    <w:rsid w:val="007A5D7F"/>
    <w:rsid w:val="007B283C"/>
    <w:rsid w:val="007B49DF"/>
    <w:rsid w:val="007C559F"/>
    <w:rsid w:val="007C6BC4"/>
    <w:rsid w:val="007D1976"/>
    <w:rsid w:val="007D2D15"/>
    <w:rsid w:val="007E35DF"/>
    <w:rsid w:val="007F18FB"/>
    <w:rsid w:val="007F1EA8"/>
    <w:rsid w:val="007F5606"/>
    <w:rsid w:val="00804894"/>
    <w:rsid w:val="00812FCC"/>
    <w:rsid w:val="008237C0"/>
    <w:rsid w:val="00824FBA"/>
    <w:rsid w:val="008268A5"/>
    <w:rsid w:val="00837DB7"/>
    <w:rsid w:val="00852202"/>
    <w:rsid w:val="008605DE"/>
    <w:rsid w:val="008618CC"/>
    <w:rsid w:val="0086463B"/>
    <w:rsid w:val="00871ADF"/>
    <w:rsid w:val="00876C2E"/>
    <w:rsid w:val="00882B82"/>
    <w:rsid w:val="00886F06"/>
    <w:rsid w:val="008940D5"/>
    <w:rsid w:val="008A2D22"/>
    <w:rsid w:val="008B7C3C"/>
    <w:rsid w:val="008C0AB0"/>
    <w:rsid w:val="008D31A4"/>
    <w:rsid w:val="008E5ADC"/>
    <w:rsid w:val="008F7F1A"/>
    <w:rsid w:val="00901D28"/>
    <w:rsid w:val="009121A6"/>
    <w:rsid w:val="0091264E"/>
    <w:rsid w:val="00915C51"/>
    <w:rsid w:val="00921ED0"/>
    <w:rsid w:val="00922147"/>
    <w:rsid w:val="00925A5A"/>
    <w:rsid w:val="0092692B"/>
    <w:rsid w:val="00932F89"/>
    <w:rsid w:val="00941038"/>
    <w:rsid w:val="0094146D"/>
    <w:rsid w:val="00945860"/>
    <w:rsid w:val="00946BF2"/>
    <w:rsid w:val="00947BAD"/>
    <w:rsid w:val="009500A8"/>
    <w:rsid w:val="00961AC3"/>
    <w:rsid w:val="00973CC4"/>
    <w:rsid w:val="009751E9"/>
    <w:rsid w:val="009820C9"/>
    <w:rsid w:val="00982E24"/>
    <w:rsid w:val="009B133D"/>
    <w:rsid w:val="009B54F7"/>
    <w:rsid w:val="009B5836"/>
    <w:rsid w:val="009B5B23"/>
    <w:rsid w:val="009D4016"/>
    <w:rsid w:val="009F1BE9"/>
    <w:rsid w:val="009F6B14"/>
    <w:rsid w:val="00A0189F"/>
    <w:rsid w:val="00A113F2"/>
    <w:rsid w:val="00A11D38"/>
    <w:rsid w:val="00A17E6B"/>
    <w:rsid w:val="00A24BCC"/>
    <w:rsid w:val="00A3677A"/>
    <w:rsid w:val="00A370F7"/>
    <w:rsid w:val="00A37B3A"/>
    <w:rsid w:val="00A40992"/>
    <w:rsid w:val="00A4766B"/>
    <w:rsid w:val="00A66252"/>
    <w:rsid w:val="00A67C06"/>
    <w:rsid w:val="00A83D85"/>
    <w:rsid w:val="00A91394"/>
    <w:rsid w:val="00A95709"/>
    <w:rsid w:val="00AC2636"/>
    <w:rsid w:val="00AC3277"/>
    <w:rsid w:val="00AC4E51"/>
    <w:rsid w:val="00AD0246"/>
    <w:rsid w:val="00AF1B6C"/>
    <w:rsid w:val="00AF4506"/>
    <w:rsid w:val="00B229F4"/>
    <w:rsid w:val="00B31334"/>
    <w:rsid w:val="00B410D9"/>
    <w:rsid w:val="00B50DD4"/>
    <w:rsid w:val="00B709B4"/>
    <w:rsid w:val="00B85A24"/>
    <w:rsid w:val="00BA3D74"/>
    <w:rsid w:val="00BA406A"/>
    <w:rsid w:val="00BC6841"/>
    <w:rsid w:val="00BD7185"/>
    <w:rsid w:val="00C076E1"/>
    <w:rsid w:val="00C12203"/>
    <w:rsid w:val="00C16936"/>
    <w:rsid w:val="00C1736E"/>
    <w:rsid w:val="00C24C79"/>
    <w:rsid w:val="00C269B1"/>
    <w:rsid w:val="00C27110"/>
    <w:rsid w:val="00C324E1"/>
    <w:rsid w:val="00C51E81"/>
    <w:rsid w:val="00C607CD"/>
    <w:rsid w:val="00C66223"/>
    <w:rsid w:val="00C92930"/>
    <w:rsid w:val="00C9399E"/>
    <w:rsid w:val="00C97549"/>
    <w:rsid w:val="00CA4991"/>
    <w:rsid w:val="00CB6550"/>
    <w:rsid w:val="00CC1A4A"/>
    <w:rsid w:val="00CC32DD"/>
    <w:rsid w:val="00CD0B2B"/>
    <w:rsid w:val="00CF0F5B"/>
    <w:rsid w:val="00D006FD"/>
    <w:rsid w:val="00D00A85"/>
    <w:rsid w:val="00D16566"/>
    <w:rsid w:val="00D2042F"/>
    <w:rsid w:val="00D21637"/>
    <w:rsid w:val="00D25BC1"/>
    <w:rsid w:val="00D307BE"/>
    <w:rsid w:val="00D440E9"/>
    <w:rsid w:val="00D66154"/>
    <w:rsid w:val="00D66DBC"/>
    <w:rsid w:val="00D702F6"/>
    <w:rsid w:val="00D71940"/>
    <w:rsid w:val="00D727EB"/>
    <w:rsid w:val="00D81C6C"/>
    <w:rsid w:val="00D84B34"/>
    <w:rsid w:val="00D85D16"/>
    <w:rsid w:val="00DA6F25"/>
    <w:rsid w:val="00DC404A"/>
    <w:rsid w:val="00DC4655"/>
    <w:rsid w:val="00DD4003"/>
    <w:rsid w:val="00DD652F"/>
    <w:rsid w:val="00DE1740"/>
    <w:rsid w:val="00DE4D4C"/>
    <w:rsid w:val="00DE59AA"/>
    <w:rsid w:val="00DE7395"/>
    <w:rsid w:val="00DF58DA"/>
    <w:rsid w:val="00E05BD9"/>
    <w:rsid w:val="00E05F6D"/>
    <w:rsid w:val="00E11DC5"/>
    <w:rsid w:val="00E31378"/>
    <w:rsid w:val="00E34F70"/>
    <w:rsid w:val="00E41E85"/>
    <w:rsid w:val="00E61C18"/>
    <w:rsid w:val="00E84B9D"/>
    <w:rsid w:val="00E87827"/>
    <w:rsid w:val="00E94EE0"/>
    <w:rsid w:val="00E96524"/>
    <w:rsid w:val="00EA0741"/>
    <w:rsid w:val="00EA14E7"/>
    <w:rsid w:val="00EA6367"/>
    <w:rsid w:val="00EB1A4C"/>
    <w:rsid w:val="00EB3D8C"/>
    <w:rsid w:val="00ED3C88"/>
    <w:rsid w:val="00ED5736"/>
    <w:rsid w:val="00ED5E2D"/>
    <w:rsid w:val="00EE0D37"/>
    <w:rsid w:val="00F20295"/>
    <w:rsid w:val="00F21977"/>
    <w:rsid w:val="00F363A6"/>
    <w:rsid w:val="00F40150"/>
    <w:rsid w:val="00F4117F"/>
    <w:rsid w:val="00F5139C"/>
    <w:rsid w:val="00F73F54"/>
    <w:rsid w:val="00F8015B"/>
    <w:rsid w:val="00F85A34"/>
    <w:rsid w:val="00F92843"/>
    <w:rsid w:val="00FB204F"/>
    <w:rsid w:val="00FB4C84"/>
    <w:rsid w:val="00FE1429"/>
    <w:rsid w:val="00FE21F2"/>
    <w:rsid w:val="00FF1234"/>
    <w:rsid w:val="00FF3E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99FD"/>
  <w15:chartTrackingRefBased/>
  <w15:docId w15:val="{94D777DB-ECAF-4D78-9F77-8F6942B9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618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243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18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8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618C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rsid w:val="008618CC"/>
    <w:rPr>
      <w:color w:val="0000FF"/>
      <w:u w:val="single"/>
    </w:rPr>
  </w:style>
  <w:style w:type="character" w:styleId="CommentReference">
    <w:name w:val="annotation reference"/>
    <w:basedOn w:val="DefaultParagraphFont"/>
    <w:uiPriority w:val="99"/>
    <w:semiHidden/>
    <w:unhideWhenUsed/>
    <w:rsid w:val="00D84B34"/>
    <w:rPr>
      <w:sz w:val="16"/>
      <w:szCs w:val="16"/>
    </w:rPr>
  </w:style>
  <w:style w:type="paragraph" w:styleId="CommentText">
    <w:name w:val="annotation text"/>
    <w:basedOn w:val="Normal"/>
    <w:link w:val="CommentTextChar"/>
    <w:uiPriority w:val="99"/>
    <w:semiHidden/>
    <w:unhideWhenUsed/>
    <w:rsid w:val="00D84B34"/>
    <w:pPr>
      <w:spacing w:line="240" w:lineRule="auto"/>
    </w:pPr>
    <w:rPr>
      <w:sz w:val="20"/>
      <w:szCs w:val="20"/>
    </w:rPr>
  </w:style>
  <w:style w:type="character" w:customStyle="1" w:styleId="CommentTextChar">
    <w:name w:val="Comment Text Char"/>
    <w:basedOn w:val="DefaultParagraphFont"/>
    <w:link w:val="CommentText"/>
    <w:uiPriority w:val="99"/>
    <w:semiHidden/>
    <w:rsid w:val="00D84B34"/>
    <w:rPr>
      <w:sz w:val="20"/>
      <w:szCs w:val="20"/>
    </w:rPr>
  </w:style>
  <w:style w:type="paragraph" w:styleId="CommentSubject">
    <w:name w:val="annotation subject"/>
    <w:basedOn w:val="CommentText"/>
    <w:next w:val="CommentText"/>
    <w:link w:val="CommentSubjectChar"/>
    <w:uiPriority w:val="99"/>
    <w:semiHidden/>
    <w:unhideWhenUsed/>
    <w:rsid w:val="00D84B34"/>
    <w:rPr>
      <w:b/>
      <w:bCs/>
    </w:rPr>
  </w:style>
  <w:style w:type="character" w:customStyle="1" w:styleId="CommentSubjectChar">
    <w:name w:val="Comment Subject Char"/>
    <w:basedOn w:val="CommentTextChar"/>
    <w:link w:val="CommentSubject"/>
    <w:uiPriority w:val="99"/>
    <w:semiHidden/>
    <w:rsid w:val="00D84B34"/>
    <w:rPr>
      <w:b/>
      <w:bCs/>
      <w:sz w:val="20"/>
      <w:szCs w:val="20"/>
    </w:rPr>
  </w:style>
  <w:style w:type="paragraph" w:styleId="BalloonText">
    <w:name w:val="Balloon Text"/>
    <w:basedOn w:val="Normal"/>
    <w:link w:val="BalloonTextChar"/>
    <w:uiPriority w:val="99"/>
    <w:semiHidden/>
    <w:unhideWhenUsed/>
    <w:rsid w:val="00D84B34"/>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D84B34"/>
    <w:rPr>
      <w:rFonts w:ascii="Arial" w:hAnsi="Arial" w:cs="Arial"/>
      <w:sz w:val="18"/>
      <w:szCs w:val="18"/>
    </w:rPr>
  </w:style>
  <w:style w:type="paragraph" w:styleId="Revision">
    <w:name w:val="Revision"/>
    <w:hidden/>
    <w:uiPriority w:val="99"/>
    <w:semiHidden/>
    <w:rsid w:val="00B50DD4"/>
    <w:pPr>
      <w:spacing w:after="0" w:line="240" w:lineRule="auto"/>
    </w:pPr>
  </w:style>
  <w:style w:type="character" w:customStyle="1" w:styleId="Heading2Char">
    <w:name w:val="Heading 2 Char"/>
    <w:basedOn w:val="DefaultParagraphFont"/>
    <w:link w:val="Heading2"/>
    <w:uiPriority w:val="9"/>
    <w:rsid w:val="0052432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F1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34"/>
  </w:style>
  <w:style w:type="paragraph" w:styleId="Footer">
    <w:name w:val="footer"/>
    <w:basedOn w:val="Normal"/>
    <w:link w:val="FooterChar"/>
    <w:uiPriority w:val="99"/>
    <w:unhideWhenUsed/>
    <w:rsid w:val="00FF1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34"/>
  </w:style>
  <w:style w:type="paragraph" w:customStyle="1" w:styleId="MHeader">
    <w:name w:val="M.Header"/>
    <w:basedOn w:val="Normal"/>
    <w:link w:val="MHeaderChar"/>
    <w:qFormat/>
    <w:rsid w:val="00FF1234"/>
    <w:pPr>
      <w:pBdr>
        <w:bottom w:val="single" w:sz="12" w:space="4" w:color="DDDDDD"/>
      </w:pBdr>
      <w:shd w:val="clear" w:color="auto" w:fill="FFFFFF"/>
      <w:spacing w:after="0" w:line="276" w:lineRule="auto"/>
      <w:outlineLvl w:val="2"/>
    </w:pPr>
    <w:rPr>
      <w:rFonts w:eastAsia="Times New Roman" w:cs="Times New Roman"/>
      <w:color w:val="1C75BC"/>
      <w:sz w:val="36"/>
      <w:szCs w:val="36"/>
      <w:lang w:val="en-GB" w:eastAsia="en-GB"/>
    </w:rPr>
  </w:style>
  <w:style w:type="paragraph" w:customStyle="1" w:styleId="MText">
    <w:name w:val="M.Text"/>
    <w:basedOn w:val="Normal"/>
    <w:link w:val="MTextChar"/>
    <w:qFormat/>
    <w:rsid w:val="00FF1234"/>
    <w:pPr>
      <w:shd w:val="clear" w:color="auto" w:fill="FFFFFF"/>
      <w:spacing w:after="0" w:line="276" w:lineRule="auto"/>
    </w:pPr>
    <w:rPr>
      <w:rFonts w:eastAsia="Times New Roman" w:cs="Times New Roman"/>
      <w:color w:val="4A4A4A"/>
      <w:sz w:val="21"/>
      <w:szCs w:val="21"/>
      <w:lang w:val="en-GB" w:eastAsia="en-GB"/>
    </w:rPr>
  </w:style>
  <w:style w:type="character" w:customStyle="1" w:styleId="MHeaderChar">
    <w:name w:val="M.Header Char"/>
    <w:basedOn w:val="DefaultParagraphFont"/>
    <w:link w:val="MHeader"/>
    <w:rsid w:val="00FF1234"/>
    <w:rPr>
      <w:rFonts w:eastAsia="Times New Roman" w:cs="Times New Roman"/>
      <w:color w:val="1C75BC"/>
      <w:sz w:val="36"/>
      <w:szCs w:val="36"/>
      <w:shd w:val="clear" w:color="auto" w:fill="FFFFFF"/>
      <w:lang w:val="en-GB" w:eastAsia="en-GB"/>
    </w:rPr>
  </w:style>
  <w:style w:type="paragraph" w:customStyle="1" w:styleId="MSubHeader">
    <w:name w:val="M.Sub.Header"/>
    <w:basedOn w:val="Normal"/>
    <w:link w:val="MSubHeaderChar"/>
    <w:qFormat/>
    <w:rsid w:val="00FF1234"/>
    <w:pPr>
      <w:shd w:val="clear" w:color="auto" w:fill="FFFFFF"/>
      <w:spacing w:after="0" w:line="276" w:lineRule="auto"/>
    </w:pPr>
    <w:rPr>
      <w:rFonts w:eastAsia="Times New Roman" w:cs="Times New Roman"/>
      <w:b/>
      <w:bCs/>
      <w:color w:val="4A4A4A"/>
      <w:sz w:val="21"/>
      <w:szCs w:val="21"/>
      <w:lang w:val="en-GB" w:eastAsia="en-GB"/>
    </w:rPr>
  </w:style>
  <w:style w:type="character" w:customStyle="1" w:styleId="MTextChar">
    <w:name w:val="M.Text Char"/>
    <w:basedOn w:val="DefaultParagraphFont"/>
    <w:link w:val="MText"/>
    <w:rsid w:val="00FF1234"/>
    <w:rPr>
      <w:rFonts w:eastAsia="Times New Roman" w:cs="Times New Roman"/>
      <w:color w:val="4A4A4A"/>
      <w:sz w:val="21"/>
      <w:szCs w:val="21"/>
      <w:shd w:val="clear" w:color="auto" w:fill="FFFFFF"/>
      <w:lang w:val="en-GB" w:eastAsia="en-GB"/>
    </w:rPr>
  </w:style>
  <w:style w:type="paragraph" w:customStyle="1" w:styleId="MGTHeader">
    <w:name w:val="M.G+T.Header"/>
    <w:basedOn w:val="Normal"/>
    <w:link w:val="MGTHeaderChar"/>
    <w:qFormat/>
    <w:rsid w:val="00FF1234"/>
    <w:pPr>
      <w:shd w:val="clear" w:color="auto" w:fill="F5F5F5"/>
      <w:spacing w:after="0" w:line="276" w:lineRule="auto"/>
      <w:outlineLvl w:val="4"/>
    </w:pPr>
    <w:rPr>
      <w:rFonts w:eastAsia="Times New Roman" w:cs="Times New Roman"/>
      <w:color w:val="333333"/>
      <w:sz w:val="21"/>
      <w:szCs w:val="21"/>
      <w:lang w:val="en-GB" w:eastAsia="en-GB"/>
    </w:rPr>
  </w:style>
  <w:style w:type="character" w:customStyle="1" w:styleId="MSubHeaderChar">
    <w:name w:val="M.Sub.Header Char"/>
    <w:basedOn w:val="DefaultParagraphFont"/>
    <w:link w:val="MSubHeader"/>
    <w:rsid w:val="00FF1234"/>
    <w:rPr>
      <w:rFonts w:eastAsia="Times New Roman" w:cs="Times New Roman"/>
      <w:b/>
      <w:bCs/>
      <w:color w:val="4A4A4A"/>
      <w:sz w:val="21"/>
      <w:szCs w:val="21"/>
      <w:shd w:val="clear" w:color="auto" w:fill="FFFFFF"/>
      <w:lang w:val="en-GB" w:eastAsia="en-GB"/>
    </w:rPr>
  </w:style>
  <w:style w:type="paragraph" w:customStyle="1" w:styleId="MIndHeader">
    <w:name w:val="M.Ind.Header"/>
    <w:basedOn w:val="Normal"/>
    <w:link w:val="MIndHeaderChar"/>
    <w:qFormat/>
    <w:rsid w:val="00FF1234"/>
    <w:pPr>
      <w:shd w:val="clear" w:color="auto" w:fill="F5F5F5"/>
      <w:spacing w:after="0" w:line="276" w:lineRule="auto"/>
      <w:outlineLvl w:val="1"/>
    </w:pPr>
    <w:rPr>
      <w:rFonts w:eastAsia="Times New Roman" w:cs="Times New Roman"/>
      <w:color w:val="1C75BC"/>
      <w:lang w:val="en-GB" w:eastAsia="en-GB"/>
    </w:rPr>
  </w:style>
  <w:style w:type="character" w:customStyle="1" w:styleId="MGTHeaderChar">
    <w:name w:val="M.G+T.Header Char"/>
    <w:basedOn w:val="DefaultParagraphFont"/>
    <w:link w:val="MGTHeader"/>
    <w:rsid w:val="00FF1234"/>
    <w:rPr>
      <w:rFonts w:eastAsia="Times New Roman" w:cs="Times New Roman"/>
      <w:color w:val="333333"/>
      <w:sz w:val="21"/>
      <w:szCs w:val="21"/>
      <w:shd w:val="clear" w:color="auto" w:fill="F5F5F5"/>
      <w:lang w:val="en-GB" w:eastAsia="en-GB"/>
    </w:rPr>
  </w:style>
  <w:style w:type="character" w:customStyle="1" w:styleId="MIndHeaderChar">
    <w:name w:val="M.Ind.Header Char"/>
    <w:basedOn w:val="DefaultParagraphFont"/>
    <w:link w:val="MIndHeader"/>
    <w:rsid w:val="00FF1234"/>
    <w:rPr>
      <w:rFonts w:eastAsia="Times New Roman" w:cs="Times New Roman"/>
      <w:color w:val="1C75BC"/>
      <w:shd w:val="clear" w:color="auto" w:fill="F5F5F5"/>
      <w:lang w:val="en-GB" w:eastAsia="en-GB"/>
    </w:rPr>
  </w:style>
  <w:style w:type="table" w:styleId="TableGrid">
    <w:name w:val="Table Grid"/>
    <w:basedOn w:val="TableNormal"/>
    <w:uiPriority w:val="39"/>
    <w:rsid w:val="00F21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5819">
      <w:bodyDiv w:val="1"/>
      <w:marLeft w:val="0"/>
      <w:marRight w:val="0"/>
      <w:marTop w:val="0"/>
      <w:marBottom w:val="0"/>
      <w:divBdr>
        <w:top w:val="none" w:sz="0" w:space="0" w:color="auto"/>
        <w:left w:val="none" w:sz="0" w:space="0" w:color="auto"/>
        <w:bottom w:val="none" w:sz="0" w:space="0" w:color="auto"/>
        <w:right w:val="none" w:sz="0" w:space="0" w:color="auto"/>
      </w:divBdr>
      <w:divsChild>
        <w:div w:id="748305711">
          <w:marLeft w:val="0"/>
          <w:marRight w:val="0"/>
          <w:marTop w:val="0"/>
          <w:marBottom w:val="0"/>
          <w:divBdr>
            <w:top w:val="none" w:sz="0" w:space="0" w:color="auto"/>
            <w:left w:val="none" w:sz="0" w:space="0" w:color="auto"/>
            <w:bottom w:val="none" w:sz="0" w:space="0" w:color="auto"/>
            <w:right w:val="none" w:sz="0" w:space="0" w:color="auto"/>
          </w:divBdr>
          <w:divsChild>
            <w:div w:id="10812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5492">
      <w:bodyDiv w:val="1"/>
      <w:marLeft w:val="0"/>
      <w:marRight w:val="0"/>
      <w:marTop w:val="0"/>
      <w:marBottom w:val="0"/>
      <w:divBdr>
        <w:top w:val="none" w:sz="0" w:space="0" w:color="auto"/>
        <w:left w:val="none" w:sz="0" w:space="0" w:color="auto"/>
        <w:bottom w:val="none" w:sz="0" w:space="0" w:color="auto"/>
        <w:right w:val="none" w:sz="0" w:space="0" w:color="auto"/>
      </w:divBdr>
      <w:divsChild>
        <w:div w:id="583301819">
          <w:marLeft w:val="0"/>
          <w:marRight w:val="0"/>
          <w:marTop w:val="0"/>
          <w:marBottom w:val="0"/>
          <w:divBdr>
            <w:top w:val="none" w:sz="0" w:space="0" w:color="auto"/>
            <w:left w:val="none" w:sz="0" w:space="0" w:color="auto"/>
            <w:bottom w:val="none" w:sz="0" w:space="0" w:color="auto"/>
            <w:right w:val="none" w:sz="0" w:space="0" w:color="auto"/>
          </w:divBdr>
        </w:div>
      </w:divsChild>
    </w:div>
    <w:div w:id="267860786">
      <w:bodyDiv w:val="1"/>
      <w:marLeft w:val="0"/>
      <w:marRight w:val="0"/>
      <w:marTop w:val="0"/>
      <w:marBottom w:val="0"/>
      <w:divBdr>
        <w:top w:val="none" w:sz="0" w:space="0" w:color="auto"/>
        <w:left w:val="none" w:sz="0" w:space="0" w:color="auto"/>
        <w:bottom w:val="none" w:sz="0" w:space="0" w:color="auto"/>
        <w:right w:val="none" w:sz="0" w:space="0" w:color="auto"/>
      </w:divBdr>
      <w:divsChild>
        <w:div w:id="1225414546">
          <w:marLeft w:val="0"/>
          <w:marRight w:val="0"/>
          <w:marTop w:val="0"/>
          <w:marBottom w:val="0"/>
          <w:divBdr>
            <w:top w:val="none" w:sz="0" w:space="0" w:color="auto"/>
            <w:left w:val="none" w:sz="0" w:space="0" w:color="auto"/>
            <w:bottom w:val="none" w:sz="0" w:space="0" w:color="auto"/>
            <w:right w:val="none" w:sz="0" w:space="0" w:color="auto"/>
          </w:divBdr>
          <w:divsChild>
            <w:div w:id="1649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06806">
      <w:bodyDiv w:val="1"/>
      <w:marLeft w:val="0"/>
      <w:marRight w:val="0"/>
      <w:marTop w:val="0"/>
      <w:marBottom w:val="0"/>
      <w:divBdr>
        <w:top w:val="none" w:sz="0" w:space="0" w:color="auto"/>
        <w:left w:val="none" w:sz="0" w:space="0" w:color="auto"/>
        <w:bottom w:val="none" w:sz="0" w:space="0" w:color="auto"/>
        <w:right w:val="none" w:sz="0" w:space="0" w:color="auto"/>
      </w:divBdr>
    </w:div>
    <w:div w:id="571084830">
      <w:bodyDiv w:val="1"/>
      <w:marLeft w:val="0"/>
      <w:marRight w:val="0"/>
      <w:marTop w:val="0"/>
      <w:marBottom w:val="0"/>
      <w:divBdr>
        <w:top w:val="none" w:sz="0" w:space="0" w:color="auto"/>
        <w:left w:val="none" w:sz="0" w:space="0" w:color="auto"/>
        <w:bottom w:val="none" w:sz="0" w:space="0" w:color="auto"/>
        <w:right w:val="none" w:sz="0" w:space="0" w:color="auto"/>
      </w:divBdr>
    </w:div>
    <w:div w:id="586428105">
      <w:bodyDiv w:val="1"/>
      <w:marLeft w:val="0"/>
      <w:marRight w:val="0"/>
      <w:marTop w:val="0"/>
      <w:marBottom w:val="0"/>
      <w:divBdr>
        <w:top w:val="none" w:sz="0" w:space="0" w:color="auto"/>
        <w:left w:val="none" w:sz="0" w:space="0" w:color="auto"/>
        <w:bottom w:val="none" w:sz="0" w:space="0" w:color="auto"/>
        <w:right w:val="none" w:sz="0" w:space="0" w:color="auto"/>
      </w:divBdr>
    </w:div>
    <w:div w:id="646936641">
      <w:bodyDiv w:val="1"/>
      <w:marLeft w:val="0"/>
      <w:marRight w:val="0"/>
      <w:marTop w:val="0"/>
      <w:marBottom w:val="0"/>
      <w:divBdr>
        <w:top w:val="none" w:sz="0" w:space="0" w:color="auto"/>
        <w:left w:val="none" w:sz="0" w:space="0" w:color="auto"/>
        <w:bottom w:val="none" w:sz="0" w:space="0" w:color="auto"/>
        <w:right w:val="none" w:sz="0" w:space="0" w:color="auto"/>
      </w:divBdr>
    </w:div>
    <w:div w:id="828129360">
      <w:bodyDiv w:val="1"/>
      <w:marLeft w:val="0"/>
      <w:marRight w:val="0"/>
      <w:marTop w:val="0"/>
      <w:marBottom w:val="0"/>
      <w:divBdr>
        <w:top w:val="none" w:sz="0" w:space="0" w:color="auto"/>
        <w:left w:val="none" w:sz="0" w:space="0" w:color="auto"/>
        <w:bottom w:val="none" w:sz="0" w:space="0" w:color="auto"/>
        <w:right w:val="none" w:sz="0" w:space="0" w:color="auto"/>
      </w:divBdr>
      <w:divsChild>
        <w:div w:id="930285229">
          <w:marLeft w:val="0"/>
          <w:marRight w:val="0"/>
          <w:marTop w:val="0"/>
          <w:marBottom w:val="0"/>
          <w:divBdr>
            <w:top w:val="none" w:sz="0" w:space="0" w:color="auto"/>
            <w:left w:val="none" w:sz="0" w:space="0" w:color="auto"/>
            <w:bottom w:val="none" w:sz="0" w:space="0" w:color="auto"/>
            <w:right w:val="none" w:sz="0" w:space="0" w:color="auto"/>
          </w:divBdr>
          <w:divsChild>
            <w:div w:id="15222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2777">
      <w:bodyDiv w:val="1"/>
      <w:marLeft w:val="0"/>
      <w:marRight w:val="0"/>
      <w:marTop w:val="0"/>
      <w:marBottom w:val="0"/>
      <w:divBdr>
        <w:top w:val="none" w:sz="0" w:space="0" w:color="auto"/>
        <w:left w:val="none" w:sz="0" w:space="0" w:color="auto"/>
        <w:bottom w:val="none" w:sz="0" w:space="0" w:color="auto"/>
        <w:right w:val="none" w:sz="0" w:space="0" w:color="auto"/>
      </w:divBdr>
    </w:div>
    <w:div w:id="859511005">
      <w:bodyDiv w:val="1"/>
      <w:marLeft w:val="0"/>
      <w:marRight w:val="0"/>
      <w:marTop w:val="0"/>
      <w:marBottom w:val="0"/>
      <w:divBdr>
        <w:top w:val="none" w:sz="0" w:space="0" w:color="auto"/>
        <w:left w:val="none" w:sz="0" w:space="0" w:color="auto"/>
        <w:bottom w:val="none" w:sz="0" w:space="0" w:color="auto"/>
        <w:right w:val="none" w:sz="0" w:space="0" w:color="auto"/>
      </w:divBdr>
    </w:div>
    <w:div w:id="878979378">
      <w:bodyDiv w:val="1"/>
      <w:marLeft w:val="0"/>
      <w:marRight w:val="0"/>
      <w:marTop w:val="0"/>
      <w:marBottom w:val="0"/>
      <w:divBdr>
        <w:top w:val="none" w:sz="0" w:space="0" w:color="auto"/>
        <w:left w:val="none" w:sz="0" w:space="0" w:color="auto"/>
        <w:bottom w:val="none" w:sz="0" w:space="0" w:color="auto"/>
        <w:right w:val="none" w:sz="0" w:space="0" w:color="auto"/>
      </w:divBdr>
      <w:divsChild>
        <w:div w:id="247692717">
          <w:marLeft w:val="0"/>
          <w:marRight w:val="0"/>
          <w:marTop w:val="0"/>
          <w:marBottom w:val="0"/>
          <w:divBdr>
            <w:top w:val="none" w:sz="0" w:space="0" w:color="auto"/>
            <w:left w:val="none" w:sz="0" w:space="0" w:color="auto"/>
            <w:bottom w:val="none" w:sz="0" w:space="0" w:color="auto"/>
            <w:right w:val="none" w:sz="0" w:space="0" w:color="auto"/>
          </w:divBdr>
          <w:divsChild>
            <w:div w:id="486480765">
              <w:marLeft w:val="0"/>
              <w:marRight w:val="0"/>
              <w:marTop w:val="0"/>
              <w:marBottom w:val="0"/>
              <w:divBdr>
                <w:top w:val="none" w:sz="0" w:space="0" w:color="auto"/>
                <w:left w:val="none" w:sz="0" w:space="0" w:color="auto"/>
                <w:bottom w:val="none" w:sz="0" w:space="0" w:color="auto"/>
                <w:right w:val="none" w:sz="0" w:space="0" w:color="auto"/>
              </w:divBdr>
            </w:div>
          </w:divsChild>
        </w:div>
        <w:div w:id="356391110">
          <w:marLeft w:val="0"/>
          <w:marRight w:val="0"/>
          <w:marTop w:val="0"/>
          <w:marBottom w:val="0"/>
          <w:divBdr>
            <w:top w:val="none" w:sz="0" w:space="0" w:color="auto"/>
            <w:left w:val="none" w:sz="0" w:space="0" w:color="auto"/>
            <w:bottom w:val="none" w:sz="0" w:space="0" w:color="auto"/>
            <w:right w:val="none" w:sz="0" w:space="0" w:color="auto"/>
          </w:divBdr>
          <w:divsChild>
            <w:div w:id="136921313">
              <w:marLeft w:val="0"/>
              <w:marRight w:val="0"/>
              <w:marTop w:val="0"/>
              <w:marBottom w:val="0"/>
              <w:divBdr>
                <w:top w:val="none" w:sz="0" w:space="0" w:color="auto"/>
                <w:left w:val="none" w:sz="0" w:space="0" w:color="auto"/>
                <w:bottom w:val="none" w:sz="0" w:space="0" w:color="auto"/>
                <w:right w:val="none" w:sz="0" w:space="0" w:color="auto"/>
              </w:divBdr>
            </w:div>
          </w:divsChild>
        </w:div>
        <w:div w:id="454955047">
          <w:marLeft w:val="0"/>
          <w:marRight w:val="0"/>
          <w:marTop w:val="0"/>
          <w:marBottom w:val="0"/>
          <w:divBdr>
            <w:top w:val="none" w:sz="0" w:space="0" w:color="auto"/>
            <w:left w:val="none" w:sz="0" w:space="0" w:color="auto"/>
            <w:bottom w:val="none" w:sz="0" w:space="0" w:color="auto"/>
            <w:right w:val="none" w:sz="0" w:space="0" w:color="auto"/>
          </w:divBdr>
          <w:divsChild>
            <w:div w:id="1804696242">
              <w:marLeft w:val="0"/>
              <w:marRight w:val="0"/>
              <w:marTop w:val="0"/>
              <w:marBottom w:val="0"/>
              <w:divBdr>
                <w:top w:val="none" w:sz="0" w:space="0" w:color="auto"/>
                <w:left w:val="none" w:sz="0" w:space="0" w:color="auto"/>
                <w:bottom w:val="none" w:sz="0" w:space="0" w:color="auto"/>
                <w:right w:val="none" w:sz="0" w:space="0" w:color="auto"/>
              </w:divBdr>
            </w:div>
          </w:divsChild>
        </w:div>
        <w:div w:id="605625000">
          <w:marLeft w:val="0"/>
          <w:marRight w:val="0"/>
          <w:marTop w:val="0"/>
          <w:marBottom w:val="0"/>
          <w:divBdr>
            <w:top w:val="none" w:sz="0" w:space="0" w:color="auto"/>
            <w:left w:val="none" w:sz="0" w:space="0" w:color="auto"/>
            <w:bottom w:val="none" w:sz="0" w:space="0" w:color="auto"/>
            <w:right w:val="none" w:sz="0" w:space="0" w:color="auto"/>
          </w:divBdr>
          <w:divsChild>
            <w:div w:id="1071735068">
              <w:marLeft w:val="0"/>
              <w:marRight w:val="0"/>
              <w:marTop w:val="0"/>
              <w:marBottom w:val="0"/>
              <w:divBdr>
                <w:top w:val="none" w:sz="0" w:space="0" w:color="auto"/>
                <w:left w:val="none" w:sz="0" w:space="0" w:color="auto"/>
                <w:bottom w:val="none" w:sz="0" w:space="0" w:color="auto"/>
                <w:right w:val="none" w:sz="0" w:space="0" w:color="auto"/>
              </w:divBdr>
            </w:div>
          </w:divsChild>
        </w:div>
        <w:div w:id="1158038432">
          <w:marLeft w:val="0"/>
          <w:marRight w:val="0"/>
          <w:marTop w:val="0"/>
          <w:marBottom w:val="0"/>
          <w:divBdr>
            <w:top w:val="none" w:sz="0" w:space="0" w:color="auto"/>
            <w:left w:val="none" w:sz="0" w:space="0" w:color="auto"/>
            <w:bottom w:val="none" w:sz="0" w:space="0" w:color="auto"/>
            <w:right w:val="none" w:sz="0" w:space="0" w:color="auto"/>
          </w:divBdr>
          <w:divsChild>
            <w:div w:id="1247030994">
              <w:marLeft w:val="0"/>
              <w:marRight w:val="0"/>
              <w:marTop w:val="0"/>
              <w:marBottom w:val="0"/>
              <w:divBdr>
                <w:top w:val="none" w:sz="0" w:space="0" w:color="auto"/>
                <w:left w:val="none" w:sz="0" w:space="0" w:color="auto"/>
                <w:bottom w:val="none" w:sz="0" w:space="0" w:color="auto"/>
                <w:right w:val="none" w:sz="0" w:space="0" w:color="auto"/>
              </w:divBdr>
            </w:div>
          </w:divsChild>
        </w:div>
        <w:div w:id="1507935979">
          <w:marLeft w:val="0"/>
          <w:marRight w:val="0"/>
          <w:marTop w:val="0"/>
          <w:marBottom w:val="0"/>
          <w:divBdr>
            <w:top w:val="none" w:sz="0" w:space="0" w:color="auto"/>
            <w:left w:val="none" w:sz="0" w:space="0" w:color="auto"/>
            <w:bottom w:val="none" w:sz="0" w:space="0" w:color="auto"/>
            <w:right w:val="none" w:sz="0" w:space="0" w:color="auto"/>
          </w:divBdr>
          <w:divsChild>
            <w:div w:id="6239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2749">
      <w:bodyDiv w:val="1"/>
      <w:marLeft w:val="0"/>
      <w:marRight w:val="0"/>
      <w:marTop w:val="0"/>
      <w:marBottom w:val="0"/>
      <w:divBdr>
        <w:top w:val="none" w:sz="0" w:space="0" w:color="auto"/>
        <w:left w:val="none" w:sz="0" w:space="0" w:color="auto"/>
        <w:bottom w:val="none" w:sz="0" w:space="0" w:color="auto"/>
        <w:right w:val="none" w:sz="0" w:space="0" w:color="auto"/>
      </w:divBdr>
    </w:div>
    <w:div w:id="1055012228">
      <w:bodyDiv w:val="1"/>
      <w:marLeft w:val="0"/>
      <w:marRight w:val="0"/>
      <w:marTop w:val="0"/>
      <w:marBottom w:val="0"/>
      <w:divBdr>
        <w:top w:val="none" w:sz="0" w:space="0" w:color="auto"/>
        <w:left w:val="none" w:sz="0" w:space="0" w:color="auto"/>
        <w:bottom w:val="none" w:sz="0" w:space="0" w:color="auto"/>
        <w:right w:val="none" w:sz="0" w:space="0" w:color="auto"/>
      </w:divBdr>
      <w:divsChild>
        <w:div w:id="365446378">
          <w:marLeft w:val="0"/>
          <w:marRight w:val="0"/>
          <w:marTop w:val="0"/>
          <w:marBottom w:val="0"/>
          <w:divBdr>
            <w:top w:val="none" w:sz="0" w:space="0" w:color="auto"/>
            <w:left w:val="none" w:sz="0" w:space="0" w:color="auto"/>
            <w:bottom w:val="none" w:sz="0" w:space="0" w:color="auto"/>
            <w:right w:val="none" w:sz="0" w:space="0" w:color="auto"/>
          </w:divBdr>
          <w:divsChild>
            <w:div w:id="1033992181">
              <w:marLeft w:val="0"/>
              <w:marRight w:val="0"/>
              <w:marTop w:val="0"/>
              <w:marBottom w:val="0"/>
              <w:divBdr>
                <w:top w:val="none" w:sz="0" w:space="0" w:color="auto"/>
                <w:left w:val="none" w:sz="0" w:space="0" w:color="auto"/>
                <w:bottom w:val="none" w:sz="0" w:space="0" w:color="auto"/>
                <w:right w:val="none" w:sz="0" w:space="0" w:color="auto"/>
              </w:divBdr>
            </w:div>
          </w:divsChild>
        </w:div>
        <w:div w:id="1127167305">
          <w:marLeft w:val="0"/>
          <w:marRight w:val="0"/>
          <w:marTop w:val="0"/>
          <w:marBottom w:val="0"/>
          <w:divBdr>
            <w:top w:val="none" w:sz="0" w:space="0" w:color="auto"/>
            <w:left w:val="none" w:sz="0" w:space="0" w:color="auto"/>
            <w:bottom w:val="none" w:sz="0" w:space="0" w:color="auto"/>
            <w:right w:val="none" w:sz="0" w:space="0" w:color="auto"/>
          </w:divBdr>
          <w:divsChild>
            <w:div w:id="1779107462">
              <w:marLeft w:val="0"/>
              <w:marRight w:val="0"/>
              <w:marTop w:val="0"/>
              <w:marBottom w:val="0"/>
              <w:divBdr>
                <w:top w:val="none" w:sz="0" w:space="0" w:color="auto"/>
                <w:left w:val="none" w:sz="0" w:space="0" w:color="auto"/>
                <w:bottom w:val="none" w:sz="0" w:space="0" w:color="auto"/>
                <w:right w:val="none" w:sz="0" w:space="0" w:color="auto"/>
              </w:divBdr>
            </w:div>
          </w:divsChild>
        </w:div>
        <w:div w:id="1142575620">
          <w:marLeft w:val="0"/>
          <w:marRight w:val="0"/>
          <w:marTop w:val="0"/>
          <w:marBottom w:val="0"/>
          <w:divBdr>
            <w:top w:val="none" w:sz="0" w:space="0" w:color="auto"/>
            <w:left w:val="none" w:sz="0" w:space="0" w:color="auto"/>
            <w:bottom w:val="none" w:sz="0" w:space="0" w:color="auto"/>
            <w:right w:val="none" w:sz="0" w:space="0" w:color="auto"/>
          </w:divBdr>
          <w:divsChild>
            <w:div w:id="636642216">
              <w:marLeft w:val="0"/>
              <w:marRight w:val="0"/>
              <w:marTop w:val="0"/>
              <w:marBottom w:val="0"/>
              <w:divBdr>
                <w:top w:val="none" w:sz="0" w:space="0" w:color="auto"/>
                <w:left w:val="none" w:sz="0" w:space="0" w:color="auto"/>
                <w:bottom w:val="none" w:sz="0" w:space="0" w:color="auto"/>
                <w:right w:val="none" w:sz="0" w:space="0" w:color="auto"/>
              </w:divBdr>
            </w:div>
          </w:divsChild>
        </w:div>
        <w:div w:id="1799301969">
          <w:marLeft w:val="0"/>
          <w:marRight w:val="0"/>
          <w:marTop w:val="0"/>
          <w:marBottom w:val="0"/>
          <w:divBdr>
            <w:top w:val="none" w:sz="0" w:space="0" w:color="auto"/>
            <w:left w:val="none" w:sz="0" w:space="0" w:color="auto"/>
            <w:bottom w:val="none" w:sz="0" w:space="0" w:color="auto"/>
            <w:right w:val="none" w:sz="0" w:space="0" w:color="auto"/>
          </w:divBdr>
          <w:divsChild>
            <w:div w:id="380792345">
              <w:marLeft w:val="0"/>
              <w:marRight w:val="0"/>
              <w:marTop w:val="0"/>
              <w:marBottom w:val="0"/>
              <w:divBdr>
                <w:top w:val="none" w:sz="0" w:space="0" w:color="auto"/>
                <w:left w:val="none" w:sz="0" w:space="0" w:color="auto"/>
                <w:bottom w:val="none" w:sz="0" w:space="0" w:color="auto"/>
                <w:right w:val="none" w:sz="0" w:space="0" w:color="auto"/>
              </w:divBdr>
            </w:div>
          </w:divsChild>
        </w:div>
        <w:div w:id="1887377998">
          <w:marLeft w:val="0"/>
          <w:marRight w:val="0"/>
          <w:marTop w:val="0"/>
          <w:marBottom w:val="0"/>
          <w:divBdr>
            <w:top w:val="none" w:sz="0" w:space="0" w:color="auto"/>
            <w:left w:val="none" w:sz="0" w:space="0" w:color="auto"/>
            <w:bottom w:val="none" w:sz="0" w:space="0" w:color="auto"/>
            <w:right w:val="none" w:sz="0" w:space="0" w:color="auto"/>
          </w:divBdr>
          <w:divsChild>
            <w:div w:id="1562523454">
              <w:marLeft w:val="0"/>
              <w:marRight w:val="0"/>
              <w:marTop w:val="0"/>
              <w:marBottom w:val="0"/>
              <w:divBdr>
                <w:top w:val="none" w:sz="0" w:space="0" w:color="auto"/>
                <w:left w:val="none" w:sz="0" w:space="0" w:color="auto"/>
                <w:bottom w:val="none" w:sz="0" w:space="0" w:color="auto"/>
                <w:right w:val="none" w:sz="0" w:space="0" w:color="auto"/>
              </w:divBdr>
            </w:div>
          </w:divsChild>
        </w:div>
        <w:div w:id="2096780590">
          <w:marLeft w:val="0"/>
          <w:marRight w:val="0"/>
          <w:marTop w:val="0"/>
          <w:marBottom w:val="0"/>
          <w:divBdr>
            <w:top w:val="none" w:sz="0" w:space="0" w:color="auto"/>
            <w:left w:val="none" w:sz="0" w:space="0" w:color="auto"/>
            <w:bottom w:val="none" w:sz="0" w:space="0" w:color="auto"/>
            <w:right w:val="none" w:sz="0" w:space="0" w:color="auto"/>
          </w:divBdr>
          <w:divsChild>
            <w:div w:id="17826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697">
      <w:bodyDiv w:val="1"/>
      <w:marLeft w:val="0"/>
      <w:marRight w:val="0"/>
      <w:marTop w:val="0"/>
      <w:marBottom w:val="0"/>
      <w:divBdr>
        <w:top w:val="none" w:sz="0" w:space="0" w:color="auto"/>
        <w:left w:val="none" w:sz="0" w:space="0" w:color="auto"/>
        <w:bottom w:val="none" w:sz="0" w:space="0" w:color="auto"/>
        <w:right w:val="none" w:sz="0" w:space="0" w:color="auto"/>
      </w:divBdr>
    </w:div>
    <w:div w:id="1103063981">
      <w:bodyDiv w:val="1"/>
      <w:marLeft w:val="0"/>
      <w:marRight w:val="0"/>
      <w:marTop w:val="0"/>
      <w:marBottom w:val="0"/>
      <w:divBdr>
        <w:top w:val="none" w:sz="0" w:space="0" w:color="auto"/>
        <w:left w:val="none" w:sz="0" w:space="0" w:color="auto"/>
        <w:bottom w:val="none" w:sz="0" w:space="0" w:color="auto"/>
        <w:right w:val="none" w:sz="0" w:space="0" w:color="auto"/>
      </w:divBdr>
      <w:divsChild>
        <w:div w:id="574900743">
          <w:marLeft w:val="0"/>
          <w:marRight w:val="0"/>
          <w:marTop w:val="0"/>
          <w:marBottom w:val="0"/>
          <w:divBdr>
            <w:top w:val="none" w:sz="0" w:space="0" w:color="auto"/>
            <w:left w:val="none" w:sz="0" w:space="0" w:color="auto"/>
            <w:bottom w:val="none" w:sz="0" w:space="0" w:color="auto"/>
            <w:right w:val="none" w:sz="0" w:space="0" w:color="auto"/>
          </w:divBdr>
          <w:divsChild>
            <w:div w:id="1415082710">
              <w:marLeft w:val="0"/>
              <w:marRight w:val="0"/>
              <w:marTop w:val="0"/>
              <w:marBottom w:val="0"/>
              <w:divBdr>
                <w:top w:val="none" w:sz="0" w:space="0" w:color="auto"/>
                <w:left w:val="none" w:sz="0" w:space="0" w:color="auto"/>
                <w:bottom w:val="none" w:sz="0" w:space="0" w:color="auto"/>
                <w:right w:val="none" w:sz="0" w:space="0" w:color="auto"/>
              </w:divBdr>
            </w:div>
          </w:divsChild>
        </w:div>
        <w:div w:id="595211493">
          <w:marLeft w:val="0"/>
          <w:marRight w:val="0"/>
          <w:marTop w:val="0"/>
          <w:marBottom w:val="0"/>
          <w:divBdr>
            <w:top w:val="none" w:sz="0" w:space="0" w:color="auto"/>
            <w:left w:val="none" w:sz="0" w:space="0" w:color="auto"/>
            <w:bottom w:val="none" w:sz="0" w:space="0" w:color="auto"/>
            <w:right w:val="none" w:sz="0" w:space="0" w:color="auto"/>
          </w:divBdr>
          <w:divsChild>
            <w:div w:id="69736384">
              <w:marLeft w:val="0"/>
              <w:marRight w:val="0"/>
              <w:marTop w:val="0"/>
              <w:marBottom w:val="0"/>
              <w:divBdr>
                <w:top w:val="none" w:sz="0" w:space="0" w:color="auto"/>
                <w:left w:val="none" w:sz="0" w:space="0" w:color="auto"/>
                <w:bottom w:val="none" w:sz="0" w:space="0" w:color="auto"/>
                <w:right w:val="none" w:sz="0" w:space="0" w:color="auto"/>
              </w:divBdr>
            </w:div>
          </w:divsChild>
        </w:div>
        <w:div w:id="687366240">
          <w:marLeft w:val="0"/>
          <w:marRight w:val="0"/>
          <w:marTop w:val="0"/>
          <w:marBottom w:val="0"/>
          <w:divBdr>
            <w:top w:val="none" w:sz="0" w:space="0" w:color="auto"/>
            <w:left w:val="none" w:sz="0" w:space="0" w:color="auto"/>
            <w:bottom w:val="none" w:sz="0" w:space="0" w:color="auto"/>
            <w:right w:val="none" w:sz="0" w:space="0" w:color="auto"/>
          </w:divBdr>
          <w:divsChild>
            <w:div w:id="124469223">
              <w:marLeft w:val="0"/>
              <w:marRight w:val="0"/>
              <w:marTop w:val="0"/>
              <w:marBottom w:val="0"/>
              <w:divBdr>
                <w:top w:val="none" w:sz="0" w:space="0" w:color="auto"/>
                <w:left w:val="none" w:sz="0" w:space="0" w:color="auto"/>
                <w:bottom w:val="none" w:sz="0" w:space="0" w:color="auto"/>
                <w:right w:val="none" w:sz="0" w:space="0" w:color="auto"/>
              </w:divBdr>
            </w:div>
          </w:divsChild>
        </w:div>
        <w:div w:id="802818257">
          <w:marLeft w:val="0"/>
          <w:marRight w:val="0"/>
          <w:marTop w:val="0"/>
          <w:marBottom w:val="0"/>
          <w:divBdr>
            <w:top w:val="none" w:sz="0" w:space="0" w:color="auto"/>
            <w:left w:val="none" w:sz="0" w:space="0" w:color="auto"/>
            <w:bottom w:val="none" w:sz="0" w:space="0" w:color="auto"/>
            <w:right w:val="none" w:sz="0" w:space="0" w:color="auto"/>
          </w:divBdr>
          <w:divsChild>
            <w:div w:id="1662810896">
              <w:marLeft w:val="0"/>
              <w:marRight w:val="0"/>
              <w:marTop w:val="0"/>
              <w:marBottom w:val="0"/>
              <w:divBdr>
                <w:top w:val="none" w:sz="0" w:space="0" w:color="auto"/>
                <w:left w:val="none" w:sz="0" w:space="0" w:color="auto"/>
                <w:bottom w:val="none" w:sz="0" w:space="0" w:color="auto"/>
                <w:right w:val="none" w:sz="0" w:space="0" w:color="auto"/>
              </w:divBdr>
            </w:div>
          </w:divsChild>
        </w:div>
        <w:div w:id="1591505903">
          <w:marLeft w:val="0"/>
          <w:marRight w:val="0"/>
          <w:marTop w:val="0"/>
          <w:marBottom w:val="0"/>
          <w:divBdr>
            <w:top w:val="none" w:sz="0" w:space="0" w:color="auto"/>
            <w:left w:val="none" w:sz="0" w:space="0" w:color="auto"/>
            <w:bottom w:val="none" w:sz="0" w:space="0" w:color="auto"/>
            <w:right w:val="none" w:sz="0" w:space="0" w:color="auto"/>
          </w:divBdr>
          <w:divsChild>
            <w:div w:id="1200977260">
              <w:marLeft w:val="0"/>
              <w:marRight w:val="0"/>
              <w:marTop w:val="0"/>
              <w:marBottom w:val="0"/>
              <w:divBdr>
                <w:top w:val="none" w:sz="0" w:space="0" w:color="auto"/>
                <w:left w:val="none" w:sz="0" w:space="0" w:color="auto"/>
                <w:bottom w:val="none" w:sz="0" w:space="0" w:color="auto"/>
                <w:right w:val="none" w:sz="0" w:space="0" w:color="auto"/>
              </w:divBdr>
            </w:div>
          </w:divsChild>
        </w:div>
        <w:div w:id="2072725159">
          <w:marLeft w:val="0"/>
          <w:marRight w:val="0"/>
          <w:marTop w:val="0"/>
          <w:marBottom w:val="0"/>
          <w:divBdr>
            <w:top w:val="none" w:sz="0" w:space="0" w:color="auto"/>
            <w:left w:val="none" w:sz="0" w:space="0" w:color="auto"/>
            <w:bottom w:val="none" w:sz="0" w:space="0" w:color="auto"/>
            <w:right w:val="none" w:sz="0" w:space="0" w:color="auto"/>
          </w:divBdr>
          <w:divsChild>
            <w:div w:id="9845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2960">
      <w:bodyDiv w:val="1"/>
      <w:marLeft w:val="0"/>
      <w:marRight w:val="0"/>
      <w:marTop w:val="0"/>
      <w:marBottom w:val="0"/>
      <w:divBdr>
        <w:top w:val="none" w:sz="0" w:space="0" w:color="auto"/>
        <w:left w:val="none" w:sz="0" w:space="0" w:color="auto"/>
        <w:bottom w:val="none" w:sz="0" w:space="0" w:color="auto"/>
        <w:right w:val="none" w:sz="0" w:space="0" w:color="auto"/>
      </w:divBdr>
    </w:div>
    <w:div w:id="1206943128">
      <w:bodyDiv w:val="1"/>
      <w:marLeft w:val="0"/>
      <w:marRight w:val="0"/>
      <w:marTop w:val="0"/>
      <w:marBottom w:val="0"/>
      <w:divBdr>
        <w:top w:val="none" w:sz="0" w:space="0" w:color="auto"/>
        <w:left w:val="none" w:sz="0" w:space="0" w:color="auto"/>
        <w:bottom w:val="none" w:sz="0" w:space="0" w:color="auto"/>
        <w:right w:val="none" w:sz="0" w:space="0" w:color="auto"/>
      </w:divBdr>
    </w:div>
    <w:div w:id="1251159310">
      <w:bodyDiv w:val="1"/>
      <w:marLeft w:val="0"/>
      <w:marRight w:val="0"/>
      <w:marTop w:val="0"/>
      <w:marBottom w:val="0"/>
      <w:divBdr>
        <w:top w:val="none" w:sz="0" w:space="0" w:color="auto"/>
        <w:left w:val="none" w:sz="0" w:space="0" w:color="auto"/>
        <w:bottom w:val="none" w:sz="0" w:space="0" w:color="auto"/>
        <w:right w:val="none" w:sz="0" w:space="0" w:color="auto"/>
      </w:divBdr>
    </w:div>
    <w:div w:id="1274093310">
      <w:bodyDiv w:val="1"/>
      <w:marLeft w:val="0"/>
      <w:marRight w:val="0"/>
      <w:marTop w:val="0"/>
      <w:marBottom w:val="0"/>
      <w:divBdr>
        <w:top w:val="none" w:sz="0" w:space="0" w:color="auto"/>
        <w:left w:val="none" w:sz="0" w:space="0" w:color="auto"/>
        <w:bottom w:val="none" w:sz="0" w:space="0" w:color="auto"/>
        <w:right w:val="none" w:sz="0" w:space="0" w:color="auto"/>
      </w:divBdr>
    </w:div>
    <w:div w:id="1333871074">
      <w:bodyDiv w:val="1"/>
      <w:marLeft w:val="0"/>
      <w:marRight w:val="0"/>
      <w:marTop w:val="0"/>
      <w:marBottom w:val="0"/>
      <w:divBdr>
        <w:top w:val="none" w:sz="0" w:space="0" w:color="auto"/>
        <w:left w:val="none" w:sz="0" w:space="0" w:color="auto"/>
        <w:bottom w:val="none" w:sz="0" w:space="0" w:color="auto"/>
        <w:right w:val="none" w:sz="0" w:space="0" w:color="auto"/>
      </w:divBdr>
    </w:div>
    <w:div w:id="1407874709">
      <w:bodyDiv w:val="1"/>
      <w:marLeft w:val="0"/>
      <w:marRight w:val="0"/>
      <w:marTop w:val="0"/>
      <w:marBottom w:val="0"/>
      <w:divBdr>
        <w:top w:val="none" w:sz="0" w:space="0" w:color="auto"/>
        <w:left w:val="none" w:sz="0" w:space="0" w:color="auto"/>
        <w:bottom w:val="none" w:sz="0" w:space="0" w:color="auto"/>
        <w:right w:val="none" w:sz="0" w:space="0" w:color="auto"/>
      </w:divBdr>
    </w:div>
    <w:div w:id="1473407185">
      <w:bodyDiv w:val="1"/>
      <w:marLeft w:val="0"/>
      <w:marRight w:val="0"/>
      <w:marTop w:val="0"/>
      <w:marBottom w:val="0"/>
      <w:divBdr>
        <w:top w:val="none" w:sz="0" w:space="0" w:color="auto"/>
        <w:left w:val="none" w:sz="0" w:space="0" w:color="auto"/>
        <w:bottom w:val="none" w:sz="0" w:space="0" w:color="auto"/>
        <w:right w:val="none" w:sz="0" w:space="0" w:color="auto"/>
      </w:divBdr>
      <w:divsChild>
        <w:div w:id="707805092">
          <w:marLeft w:val="0"/>
          <w:marRight w:val="0"/>
          <w:marTop w:val="0"/>
          <w:marBottom w:val="0"/>
          <w:divBdr>
            <w:top w:val="none" w:sz="0" w:space="0" w:color="auto"/>
            <w:left w:val="none" w:sz="0" w:space="0" w:color="auto"/>
            <w:bottom w:val="none" w:sz="0" w:space="0" w:color="auto"/>
            <w:right w:val="none" w:sz="0" w:space="0" w:color="auto"/>
          </w:divBdr>
          <w:divsChild>
            <w:div w:id="69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90174">
      <w:bodyDiv w:val="1"/>
      <w:marLeft w:val="0"/>
      <w:marRight w:val="0"/>
      <w:marTop w:val="0"/>
      <w:marBottom w:val="0"/>
      <w:divBdr>
        <w:top w:val="none" w:sz="0" w:space="0" w:color="auto"/>
        <w:left w:val="none" w:sz="0" w:space="0" w:color="auto"/>
        <w:bottom w:val="none" w:sz="0" w:space="0" w:color="auto"/>
        <w:right w:val="none" w:sz="0" w:space="0" w:color="auto"/>
      </w:divBdr>
    </w:div>
    <w:div w:id="1618482210">
      <w:bodyDiv w:val="1"/>
      <w:marLeft w:val="0"/>
      <w:marRight w:val="0"/>
      <w:marTop w:val="0"/>
      <w:marBottom w:val="0"/>
      <w:divBdr>
        <w:top w:val="none" w:sz="0" w:space="0" w:color="auto"/>
        <w:left w:val="none" w:sz="0" w:space="0" w:color="auto"/>
        <w:bottom w:val="none" w:sz="0" w:space="0" w:color="auto"/>
        <w:right w:val="none" w:sz="0" w:space="0" w:color="auto"/>
      </w:divBdr>
    </w:div>
    <w:div w:id="1647541342">
      <w:bodyDiv w:val="1"/>
      <w:marLeft w:val="0"/>
      <w:marRight w:val="0"/>
      <w:marTop w:val="0"/>
      <w:marBottom w:val="0"/>
      <w:divBdr>
        <w:top w:val="none" w:sz="0" w:space="0" w:color="auto"/>
        <w:left w:val="none" w:sz="0" w:space="0" w:color="auto"/>
        <w:bottom w:val="none" w:sz="0" w:space="0" w:color="auto"/>
        <w:right w:val="none" w:sz="0" w:space="0" w:color="auto"/>
      </w:divBdr>
    </w:div>
    <w:div w:id="1675063399">
      <w:bodyDiv w:val="1"/>
      <w:marLeft w:val="0"/>
      <w:marRight w:val="0"/>
      <w:marTop w:val="0"/>
      <w:marBottom w:val="0"/>
      <w:divBdr>
        <w:top w:val="none" w:sz="0" w:space="0" w:color="auto"/>
        <w:left w:val="none" w:sz="0" w:space="0" w:color="auto"/>
        <w:bottom w:val="none" w:sz="0" w:space="0" w:color="auto"/>
        <w:right w:val="none" w:sz="0" w:space="0" w:color="auto"/>
      </w:divBdr>
      <w:divsChild>
        <w:div w:id="514075860">
          <w:marLeft w:val="0"/>
          <w:marRight w:val="0"/>
          <w:marTop w:val="0"/>
          <w:marBottom w:val="0"/>
          <w:divBdr>
            <w:top w:val="none" w:sz="0" w:space="0" w:color="auto"/>
            <w:left w:val="none" w:sz="0" w:space="0" w:color="auto"/>
            <w:bottom w:val="none" w:sz="0" w:space="0" w:color="auto"/>
            <w:right w:val="none" w:sz="0" w:space="0" w:color="auto"/>
          </w:divBdr>
          <w:divsChild>
            <w:div w:id="1231964750">
              <w:marLeft w:val="0"/>
              <w:marRight w:val="0"/>
              <w:marTop w:val="0"/>
              <w:marBottom w:val="0"/>
              <w:divBdr>
                <w:top w:val="none" w:sz="0" w:space="0" w:color="auto"/>
                <w:left w:val="none" w:sz="0" w:space="0" w:color="auto"/>
                <w:bottom w:val="none" w:sz="0" w:space="0" w:color="auto"/>
                <w:right w:val="none" w:sz="0" w:space="0" w:color="auto"/>
              </w:divBdr>
            </w:div>
          </w:divsChild>
        </w:div>
        <w:div w:id="760686585">
          <w:marLeft w:val="0"/>
          <w:marRight w:val="0"/>
          <w:marTop w:val="0"/>
          <w:marBottom w:val="0"/>
          <w:divBdr>
            <w:top w:val="none" w:sz="0" w:space="0" w:color="auto"/>
            <w:left w:val="none" w:sz="0" w:space="0" w:color="auto"/>
            <w:bottom w:val="none" w:sz="0" w:space="0" w:color="auto"/>
            <w:right w:val="none" w:sz="0" w:space="0" w:color="auto"/>
          </w:divBdr>
          <w:divsChild>
            <w:div w:id="1162622187">
              <w:marLeft w:val="0"/>
              <w:marRight w:val="0"/>
              <w:marTop w:val="0"/>
              <w:marBottom w:val="0"/>
              <w:divBdr>
                <w:top w:val="none" w:sz="0" w:space="0" w:color="auto"/>
                <w:left w:val="none" w:sz="0" w:space="0" w:color="auto"/>
                <w:bottom w:val="none" w:sz="0" w:space="0" w:color="auto"/>
                <w:right w:val="none" w:sz="0" w:space="0" w:color="auto"/>
              </w:divBdr>
            </w:div>
          </w:divsChild>
        </w:div>
        <w:div w:id="986594220">
          <w:marLeft w:val="0"/>
          <w:marRight w:val="0"/>
          <w:marTop w:val="0"/>
          <w:marBottom w:val="0"/>
          <w:divBdr>
            <w:top w:val="none" w:sz="0" w:space="0" w:color="auto"/>
            <w:left w:val="none" w:sz="0" w:space="0" w:color="auto"/>
            <w:bottom w:val="none" w:sz="0" w:space="0" w:color="auto"/>
            <w:right w:val="none" w:sz="0" w:space="0" w:color="auto"/>
          </w:divBdr>
          <w:divsChild>
            <w:div w:id="1035085508">
              <w:marLeft w:val="0"/>
              <w:marRight w:val="0"/>
              <w:marTop w:val="0"/>
              <w:marBottom w:val="0"/>
              <w:divBdr>
                <w:top w:val="none" w:sz="0" w:space="0" w:color="auto"/>
                <w:left w:val="none" w:sz="0" w:space="0" w:color="auto"/>
                <w:bottom w:val="none" w:sz="0" w:space="0" w:color="auto"/>
                <w:right w:val="none" w:sz="0" w:space="0" w:color="auto"/>
              </w:divBdr>
            </w:div>
          </w:divsChild>
        </w:div>
        <w:div w:id="1411349981">
          <w:marLeft w:val="0"/>
          <w:marRight w:val="0"/>
          <w:marTop w:val="0"/>
          <w:marBottom w:val="0"/>
          <w:divBdr>
            <w:top w:val="none" w:sz="0" w:space="0" w:color="auto"/>
            <w:left w:val="none" w:sz="0" w:space="0" w:color="auto"/>
            <w:bottom w:val="none" w:sz="0" w:space="0" w:color="auto"/>
            <w:right w:val="none" w:sz="0" w:space="0" w:color="auto"/>
          </w:divBdr>
          <w:divsChild>
            <w:div w:id="1995790161">
              <w:marLeft w:val="0"/>
              <w:marRight w:val="0"/>
              <w:marTop w:val="0"/>
              <w:marBottom w:val="0"/>
              <w:divBdr>
                <w:top w:val="none" w:sz="0" w:space="0" w:color="auto"/>
                <w:left w:val="none" w:sz="0" w:space="0" w:color="auto"/>
                <w:bottom w:val="none" w:sz="0" w:space="0" w:color="auto"/>
                <w:right w:val="none" w:sz="0" w:space="0" w:color="auto"/>
              </w:divBdr>
            </w:div>
          </w:divsChild>
        </w:div>
        <w:div w:id="1567758538">
          <w:marLeft w:val="0"/>
          <w:marRight w:val="0"/>
          <w:marTop w:val="0"/>
          <w:marBottom w:val="0"/>
          <w:divBdr>
            <w:top w:val="none" w:sz="0" w:space="0" w:color="auto"/>
            <w:left w:val="none" w:sz="0" w:space="0" w:color="auto"/>
            <w:bottom w:val="none" w:sz="0" w:space="0" w:color="auto"/>
            <w:right w:val="none" w:sz="0" w:space="0" w:color="auto"/>
          </w:divBdr>
          <w:divsChild>
            <w:div w:id="1131482515">
              <w:marLeft w:val="0"/>
              <w:marRight w:val="0"/>
              <w:marTop w:val="0"/>
              <w:marBottom w:val="0"/>
              <w:divBdr>
                <w:top w:val="none" w:sz="0" w:space="0" w:color="auto"/>
                <w:left w:val="none" w:sz="0" w:space="0" w:color="auto"/>
                <w:bottom w:val="none" w:sz="0" w:space="0" w:color="auto"/>
                <w:right w:val="none" w:sz="0" w:space="0" w:color="auto"/>
              </w:divBdr>
            </w:div>
          </w:divsChild>
        </w:div>
        <w:div w:id="2028406524">
          <w:marLeft w:val="0"/>
          <w:marRight w:val="0"/>
          <w:marTop w:val="0"/>
          <w:marBottom w:val="0"/>
          <w:divBdr>
            <w:top w:val="none" w:sz="0" w:space="0" w:color="auto"/>
            <w:left w:val="none" w:sz="0" w:space="0" w:color="auto"/>
            <w:bottom w:val="none" w:sz="0" w:space="0" w:color="auto"/>
            <w:right w:val="none" w:sz="0" w:space="0" w:color="auto"/>
          </w:divBdr>
          <w:divsChild>
            <w:div w:id="21377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04">
      <w:bodyDiv w:val="1"/>
      <w:marLeft w:val="0"/>
      <w:marRight w:val="0"/>
      <w:marTop w:val="0"/>
      <w:marBottom w:val="0"/>
      <w:divBdr>
        <w:top w:val="none" w:sz="0" w:space="0" w:color="auto"/>
        <w:left w:val="none" w:sz="0" w:space="0" w:color="auto"/>
        <w:bottom w:val="none" w:sz="0" w:space="0" w:color="auto"/>
        <w:right w:val="none" w:sz="0" w:space="0" w:color="auto"/>
      </w:divBdr>
    </w:div>
    <w:div w:id="1728340377">
      <w:bodyDiv w:val="1"/>
      <w:marLeft w:val="0"/>
      <w:marRight w:val="0"/>
      <w:marTop w:val="0"/>
      <w:marBottom w:val="0"/>
      <w:divBdr>
        <w:top w:val="none" w:sz="0" w:space="0" w:color="auto"/>
        <w:left w:val="none" w:sz="0" w:space="0" w:color="auto"/>
        <w:bottom w:val="none" w:sz="0" w:space="0" w:color="auto"/>
        <w:right w:val="none" w:sz="0" w:space="0" w:color="auto"/>
      </w:divBdr>
    </w:div>
    <w:div w:id="1804538028">
      <w:bodyDiv w:val="1"/>
      <w:marLeft w:val="0"/>
      <w:marRight w:val="0"/>
      <w:marTop w:val="0"/>
      <w:marBottom w:val="0"/>
      <w:divBdr>
        <w:top w:val="none" w:sz="0" w:space="0" w:color="auto"/>
        <w:left w:val="none" w:sz="0" w:space="0" w:color="auto"/>
        <w:bottom w:val="none" w:sz="0" w:space="0" w:color="auto"/>
        <w:right w:val="none" w:sz="0" w:space="0" w:color="auto"/>
      </w:divBdr>
    </w:div>
    <w:div w:id="1812745674">
      <w:bodyDiv w:val="1"/>
      <w:marLeft w:val="0"/>
      <w:marRight w:val="0"/>
      <w:marTop w:val="0"/>
      <w:marBottom w:val="0"/>
      <w:divBdr>
        <w:top w:val="none" w:sz="0" w:space="0" w:color="auto"/>
        <w:left w:val="none" w:sz="0" w:space="0" w:color="auto"/>
        <w:bottom w:val="none" w:sz="0" w:space="0" w:color="auto"/>
        <w:right w:val="none" w:sz="0" w:space="0" w:color="auto"/>
      </w:divBdr>
      <w:divsChild>
        <w:div w:id="633756010">
          <w:marLeft w:val="0"/>
          <w:marRight w:val="0"/>
          <w:marTop w:val="0"/>
          <w:marBottom w:val="0"/>
          <w:divBdr>
            <w:top w:val="none" w:sz="0" w:space="0" w:color="auto"/>
            <w:left w:val="none" w:sz="0" w:space="0" w:color="auto"/>
            <w:bottom w:val="none" w:sz="0" w:space="0" w:color="auto"/>
            <w:right w:val="none" w:sz="0" w:space="0" w:color="auto"/>
          </w:divBdr>
          <w:divsChild>
            <w:div w:id="77944265">
              <w:marLeft w:val="0"/>
              <w:marRight w:val="0"/>
              <w:marTop w:val="0"/>
              <w:marBottom w:val="0"/>
              <w:divBdr>
                <w:top w:val="none" w:sz="0" w:space="0" w:color="auto"/>
                <w:left w:val="none" w:sz="0" w:space="0" w:color="auto"/>
                <w:bottom w:val="none" w:sz="0" w:space="0" w:color="auto"/>
                <w:right w:val="none" w:sz="0" w:space="0" w:color="auto"/>
              </w:divBdr>
            </w:div>
          </w:divsChild>
        </w:div>
        <w:div w:id="708838613">
          <w:marLeft w:val="0"/>
          <w:marRight w:val="0"/>
          <w:marTop w:val="0"/>
          <w:marBottom w:val="0"/>
          <w:divBdr>
            <w:top w:val="none" w:sz="0" w:space="0" w:color="auto"/>
            <w:left w:val="none" w:sz="0" w:space="0" w:color="auto"/>
            <w:bottom w:val="none" w:sz="0" w:space="0" w:color="auto"/>
            <w:right w:val="none" w:sz="0" w:space="0" w:color="auto"/>
          </w:divBdr>
          <w:divsChild>
            <w:div w:id="1630550735">
              <w:marLeft w:val="0"/>
              <w:marRight w:val="0"/>
              <w:marTop w:val="0"/>
              <w:marBottom w:val="0"/>
              <w:divBdr>
                <w:top w:val="none" w:sz="0" w:space="0" w:color="auto"/>
                <w:left w:val="none" w:sz="0" w:space="0" w:color="auto"/>
                <w:bottom w:val="none" w:sz="0" w:space="0" w:color="auto"/>
                <w:right w:val="none" w:sz="0" w:space="0" w:color="auto"/>
              </w:divBdr>
            </w:div>
          </w:divsChild>
        </w:div>
        <w:div w:id="887304626">
          <w:marLeft w:val="0"/>
          <w:marRight w:val="0"/>
          <w:marTop w:val="0"/>
          <w:marBottom w:val="0"/>
          <w:divBdr>
            <w:top w:val="none" w:sz="0" w:space="0" w:color="auto"/>
            <w:left w:val="none" w:sz="0" w:space="0" w:color="auto"/>
            <w:bottom w:val="none" w:sz="0" w:space="0" w:color="auto"/>
            <w:right w:val="none" w:sz="0" w:space="0" w:color="auto"/>
          </w:divBdr>
          <w:divsChild>
            <w:div w:id="1722750462">
              <w:marLeft w:val="0"/>
              <w:marRight w:val="0"/>
              <w:marTop w:val="0"/>
              <w:marBottom w:val="0"/>
              <w:divBdr>
                <w:top w:val="none" w:sz="0" w:space="0" w:color="auto"/>
                <w:left w:val="none" w:sz="0" w:space="0" w:color="auto"/>
                <w:bottom w:val="none" w:sz="0" w:space="0" w:color="auto"/>
                <w:right w:val="none" w:sz="0" w:space="0" w:color="auto"/>
              </w:divBdr>
            </w:div>
          </w:divsChild>
        </w:div>
        <w:div w:id="1330525110">
          <w:marLeft w:val="0"/>
          <w:marRight w:val="0"/>
          <w:marTop w:val="0"/>
          <w:marBottom w:val="0"/>
          <w:divBdr>
            <w:top w:val="none" w:sz="0" w:space="0" w:color="auto"/>
            <w:left w:val="none" w:sz="0" w:space="0" w:color="auto"/>
            <w:bottom w:val="none" w:sz="0" w:space="0" w:color="auto"/>
            <w:right w:val="none" w:sz="0" w:space="0" w:color="auto"/>
          </w:divBdr>
          <w:divsChild>
            <w:div w:id="1865749080">
              <w:marLeft w:val="0"/>
              <w:marRight w:val="0"/>
              <w:marTop w:val="0"/>
              <w:marBottom w:val="0"/>
              <w:divBdr>
                <w:top w:val="none" w:sz="0" w:space="0" w:color="auto"/>
                <w:left w:val="none" w:sz="0" w:space="0" w:color="auto"/>
                <w:bottom w:val="none" w:sz="0" w:space="0" w:color="auto"/>
                <w:right w:val="none" w:sz="0" w:space="0" w:color="auto"/>
              </w:divBdr>
            </w:div>
          </w:divsChild>
        </w:div>
        <w:div w:id="1366448389">
          <w:marLeft w:val="0"/>
          <w:marRight w:val="0"/>
          <w:marTop w:val="0"/>
          <w:marBottom w:val="0"/>
          <w:divBdr>
            <w:top w:val="none" w:sz="0" w:space="0" w:color="auto"/>
            <w:left w:val="none" w:sz="0" w:space="0" w:color="auto"/>
            <w:bottom w:val="none" w:sz="0" w:space="0" w:color="auto"/>
            <w:right w:val="none" w:sz="0" w:space="0" w:color="auto"/>
          </w:divBdr>
          <w:divsChild>
            <w:div w:id="352078158">
              <w:marLeft w:val="0"/>
              <w:marRight w:val="0"/>
              <w:marTop w:val="0"/>
              <w:marBottom w:val="0"/>
              <w:divBdr>
                <w:top w:val="none" w:sz="0" w:space="0" w:color="auto"/>
                <w:left w:val="none" w:sz="0" w:space="0" w:color="auto"/>
                <w:bottom w:val="none" w:sz="0" w:space="0" w:color="auto"/>
                <w:right w:val="none" w:sz="0" w:space="0" w:color="auto"/>
              </w:divBdr>
            </w:div>
          </w:divsChild>
        </w:div>
        <w:div w:id="1790316297">
          <w:marLeft w:val="0"/>
          <w:marRight w:val="0"/>
          <w:marTop w:val="0"/>
          <w:marBottom w:val="0"/>
          <w:divBdr>
            <w:top w:val="none" w:sz="0" w:space="0" w:color="auto"/>
            <w:left w:val="none" w:sz="0" w:space="0" w:color="auto"/>
            <w:bottom w:val="none" w:sz="0" w:space="0" w:color="auto"/>
            <w:right w:val="none" w:sz="0" w:space="0" w:color="auto"/>
          </w:divBdr>
          <w:divsChild>
            <w:div w:id="1647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7142">
      <w:bodyDiv w:val="1"/>
      <w:marLeft w:val="0"/>
      <w:marRight w:val="0"/>
      <w:marTop w:val="0"/>
      <w:marBottom w:val="0"/>
      <w:divBdr>
        <w:top w:val="none" w:sz="0" w:space="0" w:color="auto"/>
        <w:left w:val="none" w:sz="0" w:space="0" w:color="auto"/>
        <w:bottom w:val="none" w:sz="0" w:space="0" w:color="auto"/>
        <w:right w:val="none" w:sz="0" w:space="0" w:color="auto"/>
      </w:divBdr>
      <w:divsChild>
        <w:div w:id="1959992487">
          <w:marLeft w:val="0"/>
          <w:marRight w:val="0"/>
          <w:marTop w:val="0"/>
          <w:marBottom w:val="0"/>
          <w:divBdr>
            <w:top w:val="none" w:sz="0" w:space="0" w:color="auto"/>
            <w:left w:val="none" w:sz="0" w:space="0" w:color="auto"/>
            <w:bottom w:val="none" w:sz="0" w:space="0" w:color="auto"/>
            <w:right w:val="none" w:sz="0" w:space="0" w:color="auto"/>
          </w:divBdr>
          <w:divsChild>
            <w:div w:id="8782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5900">
      <w:bodyDiv w:val="1"/>
      <w:marLeft w:val="0"/>
      <w:marRight w:val="0"/>
      <w:marTop w:val="0"/>
      <w:marBottom w:val="0"/>
      <w:divBdr>
        <w:top w:val="none" w:sz="0" w:space="0" w:color="auto"/>
        <w:left w:val="none" w:sz="0" w:space="0" w:color="auto"/>
        <w:bottom w:val="none" w:sz="0" w:space="0" w:color="auto"/>
        <w:right w:val="none" w:sz="0" w:space="0" w:color="auto"/>
      </w:divBdr>
      <w:divsChild>
        <w:div w:id="2046249585">
          <w:marLeft w:val="0"/>
          <w:marRight w:val="0"/>
          <w:marTop w:val="0"/>
          <w:marBottom w:val="0"/>
          <w:divBdr>
            <w:top w:val="none" w:sz="0" w:space="0" w:color="auto"/>
            <w:left w:val="none" w:sz="0" w:space="0" w:color="auto"/>
            <w:bottom w:val="none" w:sz="0" w:space="0" w:color="auto"/>
            <w:right w:val="none" w:sz="0" w:space="0" w:color="auto"/>
          </w:divBdr>
          <w:divsChild>
            <w:div w:id="14111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DA66-E16B-0445-A984-3A905B7D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3343</Words>
  <Characters>19060</Characters>
  <Application>Microsoft Office Word</Application>
  <DocSecurity>0</DocSecurity>
  <Lines>158</Lines>
  <Paragraphs>44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Bhaskar Naidu Kalimili</dc:creator>
  <cp:keywords/>
  <dc:description/>
  <cp:lastModifiedBy>Microsoft Office User</cp:lastModifiedBy>
  <cp:revision>4</cp:revision>
  <cp:lastPrinted>2019-09-11T14:25:00Z</cp:lastPrinted>
  <dcterms:created xsi:type="dcterms:W3CDTF">2019-09-12T06:26:00Z</dcterms:created>
  <dcterms:modified xsi:type="dcterms:W3CDTF">2021-08-19T17:41:00Z</dcterms:modified>
</cp:coreProperties>
</file>