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21" w:rsidRPr="008B1CF1" w:rsidRDefault="004D2821" w:rsidP="004D28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CF1">
        <w:rPr>
          <w:rFonts w:ascii="Times New Roman" w:hAnsi="Times New Roman" w:cs="Times New Roman"/>
          <w:b/>
          <w:sz w:val="24"/>
          <w:szCs w:val="24"/>
        </w:rPr>
        <w:t>Цель 16: 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</w:t>
      </w:r>
      <w:r w:rsidRPr="008B1CF1">
        <w:rPr>
          <w:rFonts w:ascii="Times New Roman" w:hAnsi="Times New Roman" w:cs="Times New Roman"/>
          <w:b/>
          <w:sz w:val="24"/>
          <w:szCs w:val="24"/>
        </w:rPr>
        <w:tab/>
      </w:r>
    </w:p>
    <w:p w:rsidR="004D2821" w:rsidRPr="008B1CF1" w:rsidRDefault="004D2821" w:rsidP="004D28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CF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6.5</w:t>
      </w:r>
      <w:r w:rsidRPr="008B1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1CF1">
        <w:rPr>
          <w:rFonts w:ascii="Times New Roman" w:hAnsi="Times New Roman" w:cs="Times New Roman"/>
          <w:b/>
          <w:sz w:val="24"/>
          <w:szCs w:val="24"/>
        </w:rPr>
        <w:tab/>
        <w:t>Обеспечить доступ общественности к информации и защитить основные свободы в соответствии с на</w:t>
      </w:r>
      <w:r>
        <w:rPr>
          <w:rFonts w:ascii="Times New Roman" w:hAnsi="Times New Roman" w:cs="Times New Roman"/>
          <w:b/>
          <w:sz w:val="24"/>
          <w:szCs w:val="24"/>
        </w:rPr>
        <w:t xml:space="preserve">циональным законодательством и </w:t>
      </w:r>
      <w:r w:rsidRPr="008B1CF1">
        <w:rPr>
          <w:rFonts w:ascii="Times New Roman" w:hAnsi="Times New Roman" w:cs="Times New Roman"/>
          <w:b/>
          <w:sz w:val="24"/>
          <w:szCs w:val="24"/>
        </w:rPr>
        <w:t xml:space="preserve"> международными соглашениями</w:t>
      </w:r>
    </w:p>
    <w:p w:rsidR="004D2821" w:rsidRPr="008B1CF1" w:rsidRDefault="004D2821" w:rsidP="004D28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CF1">
        <w:rPr>
          <w:rFonts w:ascii="Times New Roman" w:hAnsi="Times New Roman" w:cs="Times New Roman"/>
          <w:b/>
          <w:sz w:val="24"/>
          <w:szCs w:val="24"/>
        </w:rPr>
        <w:t>16.10.2 Число стран,  в которых приняты и действуют конституционные, законодательные и/или политические гарантии публичного доступа граждан к информации</w:t>
      </w:r>
    </w:p>
    <w:p w:rsidR="004D2821" w:rsidRPr="008B1CF1" w:rsidRDefault="004D2821" w:rsidP="004D2821">
      <w:pPr>
        <w:spacing w:after="0"/>
      </w:pPr>
    </w:p>
    <w:p w:rsidR="004D2821" w:rsidRPr="00BC2097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BC2097">
        <w:rPr>
          <w:rFonts w:ascii="Times New Roman" w:hAnsi="Times New Roman" w:cs="Times New Roman"/>
          <w:b/>
          <w:sz w:val="24"/>
          <w:szCs w:val="24"/>
        </w:rPr>
        <w:t xml:space="preserve">Институциональная информация </w:t>
      </w:r>
    </w:p>
    <w:p w:rsidR="004D2821" w:rsidRPr="00BC2097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BC2097">
        <w:rPr>
          <w:rFonts w:ascii="Times New Roman" w:hAnsi="Times New Roman" w:cs="Times New Roman"/>
          <w:sz w:val="24"/>
          <w:szCs w:val="24"/>
        </w:rPr>
        <w:t>Организация(и):</w:t>
      </w:r>
    </w:p>
    <w:p w:rsidR="004D2821" w:rsidRPr="004D79F5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D79F5">
        <w:rPr>
          <w:rFonts w:ascii="Times New Roman" w:hAnsi="Times New Roman" w:cs="Times New Roman"/>
          <w:sz w:val="24"/>
          <w:szCs w:val="24"/>
        </w:rPr>
        <w:t>Организация Объединенных Наций по вопросам образования, науки и культуры (ЮНЕСКО)</w:t>
      </w:r>
    </w:p>
    <w:p w:rsidR="004D2821" w:rsidRPr="00BC2097" w:rsidRDefault="004D2821" w:rsidP="004D2821">
      <w:pPr>
        <w:spacing w:afterLines="200"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097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:rsidR="004D2821" w:rsidRPr="00BC2097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BC2097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4D2821" w:rsidRPr="00473239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73239">
        <w:rPr>
          <w:rFonts w:ascii="Times New Roman" w:hAnsi="Times New Roman" w:cs="Times New Roman"/>
          <w:sz w:val="24"/>
          <w:szCs w:val="24"/>
        </w:rPr>
        <w:t>Число стран, которые принимают и осуществляют конституц</w:t>
      </w:r>
      <w:r>
        <w:rPr>
          <w:rFonts w:ascii="Times New Roman" w:hAnsi="Times New Roman" w:cs="Times New Roman"/>
          <w:sz w:val="24"/>
          <w:szCs w:val="24"/>
        </w:rPr>
        <w:t>ионные, установленные законом и</w:t>
      </w:r>
      <w:r w:rsidRPr="00473239">
        <w:rPr>
          <w:rFonts w:ascii="Times New Roman" w:hAnsi="Times New Roman" w:cs="Times New Roman"/>
          <w:sz w:val="24"/>
          <w:szCs w:val="24"/>
        </w:rPr>
        <w:t>/или политические гарантии для доступа общественности к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73239">
        <w:rPr>
          <w:rFonts w:ascii="Times New Roman" w:hAnsi="Times New Roman" w:cs="Times New Roman"/>
          <w:sz w:val="24"/>
          <w:szCs w:val="24"/>
        </w:rPr>
        <w:t>Таким образом, основное внимание в этом индикаторе уделяется статусу принятия и реализации кон</w:t>
      </w:r>
      <w:r>
        <w:rPr>
          <w:rFonts w:ascii="Times New Roman" w:hAnsi="Times New Roman" w:cs="Times New Roman"/>
          <w:sz w:val="24"/>
          <w:szCs w:val="24"/>
        </w:rPr>
        <w:t>ституционных, законодательных и</w:t>
      </w:r>
      <w:r w:rsidRPr="00473239">
        <w:rPr>
          <w:rFonts w:ascii="Times New Roman" w:hAnsi="Times New Roman" w:cs="Times New Roman"/>
          <w:sz w:val="24"/>
          <w:szCs w:val="24"/>
        </w:rPr>
        <w:t>/или политических гарантий для публичного доступа к информации. Это определение непосредственно относится к «общественном</w:t>
      </w:r>
      <w:r>
        <w:rPr>
          <w:rFonts w:ascii="Times New Roman" w:hAnsi="Times New Roman" w:cs="Times New Roman"/>
          <w:sz w:val="24"/>
          <w:szCs w:val="24"/>
        </w:rPr>
        <w:t>у доступу к информации», который</w:t>
      </w:r>
      <w:r w:rsidRPr="00473239">
        <w:rPr>
          <w:rFonts w:ascii="Times New Roman" w:hAnsi="Times New Roman" w:cs="Times New Roman"/>
          <w:sz w:val="24"/>
          <w:szCs w:val="24"/>
        </w:rPr>
        <w:t xml:space="preserve"> является более широким, чем основанные на </w:t>
      </w:r>
      <w:r>
        <w:rPr>
          <w:rFonts w:ascii="Times New Roman" w:hAnsi="Times New Roman" w:cs="Times New Roman"/>
          <w:sz w:val="24"/>
          <w:szCs w:val="24"/>
        </w:rPr>
        <w:t xml:space="preserve">базовых </w:t>
      </w:r>
      <w:r w:rsidRPr="00473239">
        <w:rPr>
          <w:rFonts w:ascii="Times New Roman" w:hAnsi="Times New Roman" w:cs="Times New Roman"/>
          <w:sz w:val="24"/>
          <w:szCs w:val="24"/>
        </w:rPr>
        <w:t>свободах выражения и ассоциации. И наоборот, эти свободы также влияют на окружающую среду для публичного доступа к информации.</w:t>
      </w:r>
    </w:p>
    <w:p w:rsidR="004D2821" w:rsidRPr="00BC2097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BC2097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4D2821" w:rsidRPr="00473239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73239">
        <w:rPr>
          <w:rFonts w:ascii="Times New Roman" w:hAnsi="Times New Roman" w:cs="Times New Roman"/>
          <w:sz w:val="24"/>
          <w:szCs w:val="24"/>
        </w:rPr>
        <w:t>Как было предложено сетью решений устойчивого развития (</w:t>
      </w:r>
      <w:r>
        <w:rPr>
          <w:rFonts w:ascii="Times New Roman" w:hAnsi="Times New Roman" w:cs="Times New Roman"/>
          <w:sz w:val="24"/>
          <w:szCs w:val="24"/>
        </w:rPr>
        <w:t>СРУР</w:t>
      </w:r>
      <w:r w:rsidRPr="00473239">
        <w:rPr>
          <w:rFonts w:ascii="Times New Roman" w:hAnsi="Times New Roman" w:cs="Times New Roman"/>
          <w:sz w:val="24"/>
          <w:szCs w:val="24"/>
        </w:rPr>
        <w:t>) и ЮНЕСКО в предыдущих докладах для Группы технической поддержки ООН (</w:t>
      </w:r>
      <w:r>
        <w:rPr>
          <w:rFonts w:ascii="Times New Roman" w:hAnsi="Times New Roman" w:cs="Times New Roman"/>
          <w:sz w:val="24"/>
          <w:szCs w:val="24"/>
        </w:rPr>
        <w:t>ГТП</w:t>
      </w:r>
      <w:r w:rsidRPr="00473239">
        <w:rPr>
          <w:rFonts w:ascii="Times New Roman" w:hAnsi="Times New Roman" w:cs="Times New Roman"/>
          <w:sz w:val="24"/>
          <w:szCs w:val="24"/>
        </w:rPr>
        <w:t xml:space="preserve"> ООН</w:t>
      </w:r>
      <w:r w:rsidRPr="008B1CF1">
        <w:rPr>
          <w:rFonts w:ascii="Times New Roman" w:hAnsi="Times New Roman" w:cs="Times New Roman"/>
          <w:sz w:val="24"/>
          <w:szCs w:val="24"/>
        </w:rPr>
        <w:t>)</w:t>
      </w:r>
      <w:r w:rsidRPr="00473239">
        <w:rPr>
          <w:rFonts w:ascii="Times New Roman" w:hAnsi="Times New Roman" w:cs="Times New Roman"/>
          <w:sz w:val="24"/>
          <w:szCs w:val="24"/>
        </w:rPr>
        <w:t>, это является важным и измеримым показателем.</w:t>
      </w:r>
    </w:p>
    <w:p w:rsidR="004D2821" w:rsidRPr="00473239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73239">
        <w:rPr>
          <w:rFonts w:ascii="Times New Roman" w:hAnsi="Times New Roman" w:cs="Times New Roman"/>
          <w:sz w:val="24"/>
          <w:szCs w:val="24"/>
        </w:rPr>
        <w:t>Он также реагирует на растущее число государств-членов ООН, которые уже принял</w:t>
      </w:r>
      <w:r>
        <w:rPr>
          <w:rFonts w:ascii="Times New Roman" w:hAnsi="Times New Roman" w:cs="Times New Roman"/>
          <w:sz w:val="24"/>
          <w:szCs w:val="24"/>
        </w:rPr>
        <w:t>и юридические гарантии, и многие</w:t>
      </w:r>
      <w:r w:rsidRPr="00473239">
        <w:rPr>
          <w:rFonts w:ascii="Times New Roman" w:hAnsi="Times New Roman" w:cs="Times New Roman"/>
          <w:sz w:val="24"/>
          <w:szCs w:val="24"/>
        </w:rPr>
        <w:t xml:space="preserve"> другие, которые в настоящее время рассматривают соответствующее законодательство или регулирование на местах.</w:t>
      </w:r>
    </w:p>
    <w:p w:rsidR="004D2821" w:rsidRPr="00473239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73239">
        <w:rPr>
          <w:rFonts w:ascii="Times New Roman" w:hAnsi="Times New Roman" w:cs="Times New Roman"/>
          <w:sz w:val="24"/>
          <w:szCs w:val="24"/>
        </w:rPr>
        <w:lastRenderedPageBreak/>
        <w:t xml:space="preserve">Обоснованием для оценки аспекта осуществления является оценка значимости правовых шагов для практической доступности информации. Это не сложный показатель, а логическая связь законов и политик с практическим воздействием, которое имеет отношение к проблемам </w:t>
      </w:r>
      <w:r>
        <w:rPr>
          <w:rFonts w:ascii="Times New Roman" w:hAnsi="Times New Roman" w:cs="Times New Roman"/>
          <w:sz w:val="24"/>
          <w:szCs w:val="24"/>
        </w:rPr>
        <w:t>ЦУР</w:t>
      </w:r>
      <w:r w:rsidRPr="00473239">
        <w:rPr>
          <w:rFonts w:ascii="Times New Roman" w:hAnsi="Times New Roman" w:cs="Times New Roman"/>
          <w:sz w:val="24"/>
          <w:szCs w:val="24"/>
        </w:rPr>
        <w:t>.</w:t>
      </w:r>
    </w:p>
    <w:p w:rsidR="004D2821" w:rsidRPr="00473239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Словами для этого показателя являются «усыновление» и «реализация</w:t>
      </w:r>
      <w:r w:rsidRPr="00473239">
        <w:rPr>
          <w:rFonts w:ascii="Times New Roman" w:hAnsi="Times New Roman" w:cs="Times New Roman"/>
          <w:sz w:val="24"/>
          <w:szCs w:val="24"/>
        </w:rPr>
        <w:t>». Таким образом, он устанавливает: (а) имеет ли страна (или на глобальном уровне, число стран) конституционные, законодательные и / или политические гарантии для публичного доступа к информации; (б) степень, в которой такие национальные гарантии отражают «международные соглашения» (например, Всеобщая деклараци</w:t>
      </w:r>
      <w:r>
        <w:rPr>
          <w:rFonts w:ascii="Times New Roman" w:hAnsi="Times New Roman" w:cs="Times New Roman"/>
          <w:sz w:val="24"/>
          <w:szCs w:val="24"/>
        </w:rPr>
        <w:t xml:space="preserve">я прав человека и т. д.); и (c) </w:t>
      </w:r>
      <w:r w:rsidRPr="00473239">
        <w:rPr>
          <w:rFonts w:ascii="Times New Roman" w:hAnsi="Times New Roman" w:cs="Times New Roman"/>
          <w:sz w:val="24"/>
          <w:szCs w:val="24"/>
        </w:rPr>
        <w:t>механизмы реализации таких гарантий, включая следующие переменные:</w:t>
      </w:r>
    </w:p>
    <w:p w:rsidR="004D2821" w:rsidRPr="008B1CF1" w:rsidRDefault="004D2821" w:rsidP="004D2821">
      <w:pPr>
        <w:pStyle w:val="ListParagraph"/>
        <w:numPr>
          <w:ilvl w:val="0"/>
          <w:numId w:val="1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усилия правительства по публичному продвижению права на информацию.</w:t>
      </w:r>
    </w:p>
    <w:p w:rsidR="004D2821" w:rsidRPr="008B1CF1" w:rsidRDefault="004D2821" w:rsidP="004D2821">
      <w:pPr>
        <w:pStyle w:val="ListParagraph"/>
        <w:numPr>
          <w:ilvl w:val="0"/>
          <w:numId w:val="1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осведомленность граждан об их законном праве на информацию и их способности эффективно использовать ее.</w:t>
      </w:r>
    </w:p>
    <w:p w:rsidR="004D2821" w:rsidRPr="008B1CF1" w:rsidRDefault="004D2821" w:rsidP="004D2821">
      <w:pPr>
        <w:pStyle w:val="ListParagraph"/>
        <w:numPr>
          <w:ilvl w:val="0"/>
          <w:numId w:val="1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способность государственных органов предоставлять информацию по запросу общественности.</w:t>
      </w:r>
    </w:p>
    <w:p w:rsidR="004D2821" w:rsidRPr="00473239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73239">
        <w:rPr>
          <w:rFonts w:ascii="Times New Roman" w:hAnsi="Times New Roman" w:cs="Times New Roman"/>
          <w:sz w:val="24"/>
          <w:szCs w:val="24"/>
        </w:rPr>
        <w:t>Таким образом, этот показатель сопоставляет данные из нескольких источников, включая национальные правозащитные учреждения, национальные и международные неправительственные организации, академические учреждения и национальные регулирующие органы СМИ. Такая информация будет собираться, обрабатываться и проверяться международными организациями - ЮНЕСКО и Всемирным банком.</w:t>
      </w:r>
    </w:p>
    <w:p w:rsidR="004D2821" w:rsidRPr="00473239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73239">
        <w:rPr>
          <w:rFonts w:ascii="Times New Roman" w:hAnsi="Times New Roman" w:cs="Times New Roman"/>
          <w:sz w:val="24"/>
          <w:szCs w:val="24"/>
        </w:rPr>
        <w:t>ЮНЕСКО собирает некоторые аспекты этих данных с использованием показателей развития средств массовой информации в дополнение к двухгодичному докладу «Мировые тенденции в области свободы выражения мнений и развития средств информации».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73239">
        <w:rPr>
          <w:rFonts w:ascii="Times New Roman" w:hAnsi="Times New Roman" w:cs="Times New Roman"/>
          <w:sz w:val="24"/>
          <w:szCs w:val="24"/>
        </w:rPr>
        <w:t>Данные о существовании законов о свободе информации доступны не менее чем для 195 стран.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BC2097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73239">
        <w:rPr>
          <w:rFonts w:ascii="Times New Roman" w:hAnsi="Times New Roman" w:cs="Times New Roman"/>
          <w:sz w:val="24"/>
          <w:szCs w:val="24"/>
        </w:rPr>
        <w:t>Концептуально «открытый доступ к информации» относится к «наличию надежной системы, посредством которой информация предоставляется гражданам и другим лицам». Такая система представляет собой сочетание интеллектуальных, физических и социальных элементов, которые влияют на досту</w:t>
      </w:r>
      <w:r>
        <w:rPr>
          <w:rFonts w:ascii="Times New Roman" w:hAnsi="Times New Roman" w:cs="Times New Roman"/>
          <w:sz w:val="24"/>
          <w:szCs w:val="24"/>
        </w:rPr>
        <w:t>пность информации для физических</w:t>
      </w:r>
      <w:r w:rsidRPr="00473239">
        <w:rPr>
          <w:rFonts w:ascii="Times New Roman" w:hAnsi="Times New Roman" w:cs="Times New Roman"/>
          <w:sz w:val="24"/>
          <w:szCs w:val="24"/>
        </w:rPr>
        <w:t xml:space="preserve"> лиц. Другими словами, при обсуждении вопроса об общественном доступе к информации важно признать, что любое измерение его практической работы должно </w:t>
      </w:r>
      <w:r>
        <w:rPr>
          <w:rFonts w:ascii="Times New Roman" w:hAnsi="Times New Roman" w:cs="Times New Roman"/>
          <w:sz w:val="24"/>
          <w:szCs w:val="24"/>
        </w:rPr>
        <w:t>принимать во внимание</w:t>
      </w:r>
      <w:r w:rsidRPr="00473239">
        <w:rPr>
          <w:rFonts w:ascii="Times New Roman" w:hAnsi="Times New Roman" w:cs="Times New Roman"/>
          <w:sz w:val="24"/>
          <w:szCs w:val="24"/>
        </w:rPr>
        <w:t>, как люди воспринимают качество информации в общественном достоянии, характер к</w:t>
      </w:r>
      <w:r>
        <w:rPr>
          <w:rFonts w:ascii="Times New Roman" w:hAnsi="Times New Roman" w:cs="Times New Roman"/>
          <w:sz w:val="24"/>
          <w:szCs w:val="24"/>
        </w:rPr>
        <w:t xml:space="preserve">оммуникативной инфраструктуры, </w:t>
      </w:r>
      <w:r w:rsidRPr="00473239">
        <w:rPr>
          <w:rFonts w:ascii="Times New Roman" w:hAnsi="Times New Roman" w:cs="Times New Roman"/>
          <w:sz w:val="24"/>
          <w:szCs w:val="24"/>
        </w:rPr>
        <w:t>чтобы облегчить доступ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3239">
        <w:rPr>
          <w:rFonts w:ascii="Times New Roman" w:hAnsi="Times New Roman" w:cs="Times New Roman"/>
          <w:sz w:val="24"/>
          <w:szCs w:val="24"/>
        </w:rPr>
        <w:t xml:space="preserve"> и как эта информация</w:t>
      </w:r>
      <w:r w:rsidRPr="008B1CF1">
        <w:rPr>
          <w:rFonts w:ascii="Times New Roman" w:hAnsi="Times New Roman" w:cs="Times New Roman"/>
          <w:sz w:val="24"/>
          <w:szCs w:val="24"/>
        </w:rPr>
        <w:t>,</w:t>
      </w:r>
      <w:r w:rsidRPr="00473239">
        <w:rPr>
          <w:rFonts w:ascii="Times New Roman" w:hAnsi="Times New Roman" w:cs="Times New Roman"/>
          <w:sz w:val="24"/>
          <w:szCs w:val="24"/>
        </w:rPr>
        <w:t xml:space="preserve"> в конечном счете</w:t>
      </w:r>
      <w:r w:rsidRPr="008B1CF1">
        <w:rPr>
          <w:rFonts w:ascii="Times New Roman" w:hAnsi="Times New Roman" w:cs="Times New Roman"/>
          <w:sz w:val="24"/>
          <w:szCs w:val="24"/>
        </w:rPr>
        <w:t>,</w:t>
      </w:r>
      <w:r w:rsidRPr="00473239">
        <w:rPr>
          <w:rFonts w:ascii="Times New Roman" w:hAnsi="Times New Roman" w:cs="Times New Roman"/>
          <w:sz w:val="24"/>
          <w:szCs w:val="24"/>
        </w:rPr>
        <w:t xml:space="preserve"> используется отдельными лицами</w:t>
      </w:r>
      <w:r>
        <w:rPr>
          <w:rFonts w:ascii="Times New Roman" w:hAnsi="Times New Roman" w:cs="Times New Roman"/>
          <w:sz w:val="24"/>
          <w:szCs w:val="24"/>
        </w:rPr>
        <w:t xml:space="preserve">-членами </w:t>
      </w:r>
      <w:r w:rsidRPr="00473239">
        <w:rPr>
          <w:rFonts w:ascii="Times New Roman" w:hAnsi="Times New Roman" w:cs="Times New Roman"/>
          <w:sz w:val="24"/>
          <w:szCs w:val="24"/>
        </w:rPr>
        <w:t>определенного государства.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общем, </w:t>
      </w:r>
      <w:r w:rsidRPr="00877CAF">
        <w:rPr>
          <w:rFonts w:ascii="Times New Roman" w:hAnsi="Times New Roman" w:cs="Times New Roman"/>
          <w:sz w:val="24"/>
          <w:szCs w:val="24"/>
        </w:rPr>
        <w:t>это проблемы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законодательства и политики</w:t>
      </w:r>
      <w:r w:rsidRPr="00877CAF">
        <w:rPr>
          <w:rFonts w:ascii="Times New Roman" w:hAnsi="Times New Roman" w:cs="Times New Roman"/>
          <w:sz w:val="24"/>
          <w:szCs w:val="24"/>
        </w:rPr>
        <w:t xml:space="preserve"> в отношении доступа общественности. Более конкретно, такое законодательство и политика принимают форму законов о свободе информации (законы о свободе информации), которые направлены на предоставление доступа широкой общественности к данным, хранящимся в национальных правительствах, и все чаще частными компаниями, работа которых пересекается с правительственными операциями.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77CAF">
        <w:rPr>
          <w:rFonts w:ascii="Times New Roman" w:hAnsi="Times New Roman" w:cs="Times New Roman"/>
          <w:sz w:val="24"/>
          <w:szCs w:val="24"/>
        </w:rPr>
        <w:t xml:space="preserve">Появление законодательства о свободе информации было ответом на растущее недовольство секретностью, связанной с разработкой государственной политики и принятием решений. </w:t>
      </w:r>
      <w:r>
        <w:rPr>
          <w:rFonts w:ascii="Times New Roman" w:hAnsi="Times New Roman" w:cs="Times New Roman"/>
          <w:sz w:val="24"/>
          <w:szCs w:val="24"/>
        </w:rPr>
        <w:t>Устанавливается</w:t>
      </w:r>
      <w:r w:rsidRPr="00877CAF">
        <w:rPr>
          <w:rFonts w:ascii="Times New Roman" w:hAnsi="Times New Roman" w:cs="Times New Roman"/>
          <w:sz w:val="24"/>
          <w:szCs w:val="24"/>
        </w:rPr>
        <w:t xml:space="preserve"> юридический процесс «право на знание», по которому могут запрашиваться правительственные данные, которые должны быть получены свободно или с минимальными затратами, за ис</w:t>
      </w:r>
      <w:r>
        <w:rPr>
          <w:rFonts w:ascii="Times New Roman" w:hAnsi="Times New Roman" w:cs="Times New Roman"/>
          <w:sz w:val="24"/>
          <w:szCs w:val="24"/>
        </w:rPr>
        <w:t>ключением стандартных ограничений</w:t>
      </w:r>
      <w:r w:rsidRPr="00877CAF">
        <w:rPr>
          <w:rFonts w:ascii="Times New Roman" w:hAnsi="Times New Roman" w:cs="Times New Roman"/>
          <w:sz w:val="24"/>
          <w:szCs w:val="24"/>
        </w:rPr>
        <w:t>.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77CAF">
        <w:rPr>
          <w:rFonts w:ascii="Times New Roman" w:hAnsi="Times New Roman" w:cs="Times New Roman"/>
          <w:sz w:val="24"/>
          <w:szCs w:val="24"/>
        </w:rPr>
        <w:t>Такая формулировка основывается на международных соглашениях. Например, право на свободу выражения мнений, которое не только признается в качестве основного права человека во Всеобщей декларации прав человека (1948 год), также закреплено в Международном пакте о гражданских и политических правах (1966 год), Европейской конвенции о правах человека (1950 год), Американской конвенции о правах человека (1969 год) и Африканской хартии прав человека и народов (1</w:t>
      </w:r>
      <w:r>
        <w:rPr>
          <w:rFonts w:ascii="Times New Roman" w:hAnsi="Times New Roman" w:cs="Times New Roman"/>
          <w:sz w:val="24"/>
          <w:szCs w:val="24"/>
        </w:rPr>
        <w:t>981 год), тем самым представляет</w:t>
      </w:r>
      <w:r w:rsidRPr="00877CAF">
        <w:rPr>
          <w:rFonts w:ascii="Times New Roman" w:hAnsi="Times New Roman" w:cs="Times New Roman"/>
          <w:sz w:val="24"/>
          <w:szCs w:val="24"/>
        </w:rPr>
        <w:t xml:space="preserve"> универсальное политическое признание и применение. Более конкретно, в европейском контексте можно ссылаться на Конвенцию Совета Европы о доступе к официальным документам, принятую 18 июня 2009 года. На Американском континенте Межамериканский юридический комитет Организации американских государств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CAF">
        <w:rPr>
          <w:rFonts w:ascii="Times New Roman" w:hAnsi="Times New Roman" w:cs="Times New Roman"/>
          <w:sz w:val="24"/>
          <w:szCs w:val="24"/>
        </w:rPr>
        <w:t>в 2008 году разработал ряд Принципов о праве доступа к информации.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097">
        <w:rPr>
          <w:rFonts w:ascii="Times New Roman" w:hAnsi="Times New Roman" w:cs="Times New Roman"/>
          <w:b/>
          <w:sz w:val="24"/>
          <w:szCs w:val="24"/>
        </w:rPr>
        <w:t>Комментарии и ограничения</w:t>
      </w:r>
    </w:p>
    <w:p w:rsidR="004D2821" w:rsidRPr="00877CA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77CAF">
        <w:rPr>
          <w:rFonts w:ascii="Times New Roman" w:hAnsi="Times New Roman" w:cs="Times New Roman"/>
          <w:sz w:val="24"/>
          <w:szCs w:val="24"/>
        </w:rPr>
        <w:t>оказатель не оценивает совокупность компонента «открытый доступ к информации» полной цели 16.10. Тем не менее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7CAF">
        <w:rPr>
          <w:rFonts w:ascii="Times New Roman" w:hAnsi="Times New Roman" w:cs="Times New Roman"/>
          <w:sz w:val="24"/>
          <w:szCs w:val="24"/>
        </w:rPr>
        <w:t xml:space="preserve"> он фокусируется на ключевой детерминанте более широкой информационной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821" w:rsidRPr="00BC2097" w:rsidRDefault="004D2821" w:rsidP="004D2821">
      <w:pPr>
        <w:spacing w:afterLines="200"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097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BC2097">
        <w:rPr>
          <w:rFonts w:ascii="Times New Roman" w:hAnsi="Times New Roman" w:cs="Times New Roman"/>
          <w:sz w:val="24"/>
          <w:szCs w:val="24"/>
        </w:rPr>
        <w:t>Метод расчета: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77CAF">
        <w:rPr>
          <w:rFonts w:ascii="Times New Roman" w:hAnsi="Times New Roman" w:cs="Times New Roman"/>
          <w:sz w:val="24"/>
          <w:szCs w:val="24"/>
        </w:rPr>
        <w:t>Метод расчета является как количественным, так и качественным, с данными, полученными в результате глобального обзора существующих обследований (например, отчетов ЮНЕСКО о мировых тенденциях в области свободы выражения и развития ср</w:t>
      </w:r>
      <w:r>
        <w:rPr>
          <w:rFonts w:ascii="Times New Roman" w:hAnsi="Times New Roman" w:cs="Times New Roman"/>
          <w:sz w:val="24"/>
          <w:szCs w:val="24"/>
        </w:rPr>
        <w:t>едств массовой информации и т. д.), а</w:t>
      </w:r>
      <w:r w:rsidRPr="00877CAF">
        <w:rPr>
          <w:rFonts w:ascii="Times New Roman" w:hAnsi="Times New Roman" w:cs="Times New Roman"/>
          <w:sz w:val="24"/>
          <w:szCs w:val="24"/>
        </w:rPr>
        <w:t>дминистративных записей, экспертных оценок (</w:t>
      </w:r>
      <w:r w:rsidRPr="009A5074">
        <w:rPr>
          <w:rFonts w:ascii="Times New Roman" w:hAnsi="Times New Roman" w:cs="Times New Roman"/>
          <w:sz w:val="24"/>
          <w:szCs w:val="24"/>
        </w:rPr>
        <w:t xml:space="preserve">например, «Всемирный рейтинг справедливости в открытом мире») и т. 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9A5074">
        <w:rPr>
          <w:rFonts w:ascii="Times New Roman" w:hAnsi="Times New Roman" w:cs="Times New Roman"/>
          <w:sz w:val="24"/>
          <w:szCs w:val="24"/>
        </w:rPr>
        <w:t xml:space="preserve">Более конкретно, будут оцениваться следующие ключевые </w:t>
      </w:r>
      <w:r>
        <w:rPr>
          <w:rFonts w:ascii="Times New Roman" w:hAnsi="Times New Roman" w:cs="Times New Roman"/>
          <w:sz w:val="24"/>
          <w:szCs w:val="24"/>
        </w:rPr>
        <w:t>переменные:</w:t>
      </w:r>
    </w:p>
    <w:p w:rsidR="004D2821" w:rsidRPr="008B1CF1" w:rsidRDefault="004D2821" w:rsidP="004D2821">
      <w:pPr>
        <w:pStyle w:val="ListParagraph"/>
        <w:numPr>
          <w:ilvl w:val="0"/>
          <w:numId w:val="3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lastRenderedPageBreak/>
        <w:t>Имеет ли страна конституционные, законодательные и/или политические гарантии для доступа общественности к информации?</w:t>
      </w:r>
    </w:p>
    <w:p w:rsidR="004D2821" w:rsidRPr="008B1CF1" w:rsidRDefault="004D2821" w:rsidP="004D2821">
      <w:pPr>
        <w:pStyle w:val="ListParagraph"/>
        <w:numPr>
          <w:ilvl w:val="0"/>
          <w:numId w:val="3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Отражают ли эти конституционные, законодательные и/или политические гарантии известные международные соглашения (например, Всеобщая декларация прав человека, Международный пакт о гражданских и политических правах и т. д.)?</w:t>
      </w:r>
    </w:p>
    <w:p w:rsidR="004D2821" w:rsidRPr="008B1CF1" w:rsidRDefault="004D2821" w:rsidP="004D2821">
      <w:pPr>
        <w:pStyle w:val="ListParagraph"/>
        <w:numPr>
          <w:ilvl w:val="0"/>
          <w:numId w:val="3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Какие существующие механизмы используются для обеспечения оптимального функционирования таких гарантий?</w:t>
      </w:r>
    </w:p>
    <w:p w:rsidR="004D2821" w:rsidRPr="00877CA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77CAF">
        <w:rPr>
          <w:rFonts w:ascii="Times New Roman" w:hAnsi="Times New Roman" w:cs="Times New Roman"/>
          <w:sz w:val="24"/>
          <w:szCs w:val="24"/>
        </w:rPr>
        <w:t>Для решения этих вопросов в качестве индикаторов эффективности будут использоваться следующие:</w:t>
      </w:r>
    </w:p>
    <w:p w:rsidR="004D2821" w:rsidRPr="008B1CF1" w:rsidRDefault="004D2821" w:rsidP="004D2821">
      <w:pPr>
        <w:pStyle w:val="ListParagraph"/>
        <w:numPr>
          <w:ilvl w:val="0"/>
          <w:numId w:val="4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Национальное законодательство или конституционная гарантия права на информацию</w:t>
      </w:r>
    </w:p>
    <w:p w:rsidR="004D2821" w:rsidRPr="008B1CF1" w:rsidRDefault="004D2821" w:rsidP="004D2821">
      <w:pPr>
        <w:pStyle w:val="ListParagraph"/>
        <w:numPr>
          <w:ilvl w:val="0"/>
          <w:numId w:val="4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Страна подписала и ратифицировала соответствующие договорные обязательства без каких-либо существенных исключений, и они отражены, насколько это возможно, в национальном законодательстве о свободе информации</w:t>
      </w:r>
    </w:p>
    <w:p w:rsidR="004D2821" w:rsidRPr="008B1CF1" w:rsidRDefault="004D2821" w:rsidP="004D2821">
      <w:pPr>
        <w:pStyle w:val="ListParagraph"/>
        <w:numPr>
          <w:ilvl w:val="0"/>
          <w:numId w:val="4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Общественность осведомлена и имеет право на доступ к официальной информации</w:t>
      </w:r>
    </w:p>
    <w:p w:rsidR="004D2821" w:rsidRPr="008B1CF1" w:rsidRDefault="004D2821" w:rsidP="004D2821">
      <w:pPr>
        <w:pStyle w:val="ListParagraph"/>
        <w:numPr>
          <w:ilvl w:val="0"/>
          <w:numId w:val="4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Публичные органы публикуют информацию как активно, так и по требованию</w:t>
      </w:r>
    </w:p>
    <w:p w:rsidR="004D2821" w:rsidRPr="008B1CF1" w:rsidRDefault="004D2821" w:rsidP="004D2821">
      <w:pPr>
        <w:pStyle w:val="ListParagraph"/>
        <w:numPr>
          <w:ilvl w:val="0"/>
          <w:numId w:val="4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Эффективный механизм подачи апелляций через независимый административный орган, например, информационного комиссара или омбудсмена</w:t>
      </w:r>
    </w:p>
    <w:p w:rsidR="004D2821" w:rsidRPr="008B1CF1" w:rsidRDefault="004D2821" w:rsidP="004D2821">
      <w:pPr>
        <w:pStyle w:val="ListParagraph"/>
        <w:numPr>
          <w:ilvl w:val="0"/>
          <w:numId w:val="4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Любое ограничение по соображениям защиты личной неприкосновенности узко определено, чтобы исключить информацию, в которой нет оправданных общественных интересов.</w:t>
      </w:r>
    </w:p>
    <w:p w:rsidR="004D2821" w:rsidRPr="00877CA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77CAF">
        <w:rPr>
          <w:rFonts w:ascii="Times New Roman" w:hAnsi="Times New Roman" w:cs="Times New Roman"/>
          <w:sz w:val="24"/>
          <w:szCs w:val="24"/>
        </w:rPr>
        <w:t>Средства проверки будут включать:</w:t>
      </w:r>
    </w:p>
    <w:p w:rsidR="004D2821" w:rsidRPr="008B1CF1" w:rsidRDefault="004D2821" w:rsidP="004D2821">
      <w:pPr>
        <w:pStyle w:val="ListParagraph"/>
        <w:numPr>
          <w:ilvl w:val="0"/>
          <w:numId w:val="5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Любой закон или политику в отношении права на информацию, которые соответствуют международным стандартам</w:t>
      </w:r>
    </w:p>
    <w:p w:rsidR="004D2821" w:rsidRPr="008B1CF1" w:rsidRDefault="004D2821" w:rsidP="004D2821">
      <w:pPr>
        <w:pStyle w:val="ListParagraph"/>
        <w:numPr>
          <w:ilvl w:val="0"/>
          <w:numId w:val="5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Доклады авторитетных агентств/экспертов о праве на информационные гарантии и степень, в которой они отражают международные стандарты/соглашения</w:t>
      </w:r>
    </w:p>
    <w:p w:rsidR="004D2821" w:rsidRPr="008B1CF1" w:rsidRDefault="004D2821" w:rsidP="004D2821">
      <w:pPr>
        <w:pStyle w:val="ListParagraph"/>
        <w:numPr>
          <w:ilvl w:val="0"/>
          <w:numId w:val="5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Политика государственных органов в отношении выпуска информации (которая обеспечивает свободный доступ общественности к информации, в том числе онлайн)</w:t>
      </w:r>
    </w:p>
    <w:p w:rsidR="004D2821" w:rsidRPr="008B1CF1" w:rsidRDefault="004D2821" w:rsidP="004D2821">
      <w:pPr>
        <w:pStyle w:val="ListParagraph"/>
        <w:numPr>
          <w:ilvl w:val="0"/>
          <w:numId w:val="5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Свидетельство о приверженности государства к открытому правительству, например, публикация и распространение законов, судебных решений, парламентских процедур, программ расходов (по отношению к обязательствам ЦУР)</w:t>
      </w:r>
    </w:p>
    <w:p w:rsidR="004D2821" w:rsidRPr="008B1CF1" w:rsidRDefault="004D2821" w:rsidP="004D2821">
      <w:pPr>
        <w:pStyle w:val="ListParagraph"/>
        <w:numPr>
          <w:ilvl w:val="0"/>
          <w:numId w:val="5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Статистическая информация об общественных запросах на официальную информацию и их исполнении или отклонении</w:t>
      </w:r>
    </w:p>
    <w:p w:rsidR="004D2821" w:rsidRPr="008B1CF1" w:rsidRDefault="004D2821" w:rsidP="004D2821">
      <w:pPr>
        <w:pStyle w:val="ListParagraph"/>
        <w:numPr>
          <w:ilvl w:val="0"/>
          <w:numId w:val="5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Статистическая информация об апелляциях или жалобах на запросы информации, которые были отклонены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097">
        <w:rPr>
          <w:rFonts w:ascii="Times New Roman" w:hAnsi="Times New Roman" w:cs="Times New Roman"/>
          <w:b/>
          <w:sz w:val="24"/>
          <w:szCs w:val="24"/>
        </w:rPr>
        <w:t>Дезагрегация:</w:t>
      </w:r>
    </w:p>
    <w:p w:rsidR="004D2821" w:rsidRPr="00877CA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77CAF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может быть дезагрегирован с точки зрения степени, в которой место жительства граждан влияет на их способность </w:t>
      </w:r>
      <w:r>
        <w:rPr>
          <w:rFonts w:ascii="Times New Roman" w:hAnsi="Times New Roman" w:cs="Times New Roman"/>
          <w:sz w:val="24"/>
          <w:szCs w:val="24"/>
        </w:rPr>
        <w:t>доступа к информации (например, сельские, пригородные и</w:t>
      </w:r>
      <w:r w:rsidRPr="00877CAF">
        <w:rPr>
          <w:rFonts w:ascii="Times New Roman" w:hAnsi="Times New Roman" w:cs="Times New Roman"/>
          <w:sz w:val="24"/>
          <w:szCs w:val="24"/>
        </w:rPr>
        <w:t xml:space="preserve"> город</w:t>
      </w:r>
      <w:r>
        <w:rPr>
          <w:rFonts w:ascii="Times New Roman" w:hAnsi="Times New Roman" w:cs="Times New Roman"/>
          <w:sz w:val="24"/>
          <w:szCs w:val="24"/>
        </w:rPr>
        <w:t xml:space="preserve">ские </w:t>
      </w:r>
      <w:r w:rsidRPr="00877CAF">
        <w:rPr>
          <w:rFonts w:ascii="Times New Roman" w:hAnsi="Times New Roman" w:cs="Times New Roman"/>
          <w:sz w:val="24"/>
          <w:szCs w:val="24"/>
        </w:rPr>
        <w:t>жители получают доступ к информации из государственных органов). Он также может быть дезагрегирован с точки зрения того, влияет ли гендерный фактор на способность доступа к информации. Кроме того, можно также оценить аспекты того, как инвалидность влияет на доступ общественности к информации.</w:t>
      </w:r>
    </w:p>
    <w:p w:rsidR="004D2821" w:rsidRPr="00BC2097" w:rsidRDefault="004D2821" w:rsidP="004D2821">
      <w:pPr>
        <w:spacing w:afterLines="200"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097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4D2821" w:rsidRPr="008B1CF1" w:rsidRDefault="004D2821" w:rsidP="004D2821">
      <w:pPr>
        <w:pStyle w:val="ListParagraph"/>
        <w:numPr>
          <w:ilvl w:val="0"/>
          <w:numId w:val="6"/>
        </w:numPr>
        <w:spacing w:afterLines="200" w:after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CF1">
        <w:rPr>
          <w:rFonts w:ascii="Times New Roman" w:hAnsi="Times New Roman" w:cs="Times New Roman"/>
          <w:i/>
          <w:sz w:val="24"/>
          <w:szCs w:val="24"/>
        </w:rPr>
        <w:t>На уровне страны</w:t>
      </w:r>
    </w:p>
    <w:p w:rsidR="004D2821" w:rsidRPr="00877CA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77CAF">
        <w:rPr>
          <w:rFonts w:ascii="Times New Roman" w:hAnsi="Times New Roman" w:cs="Times New Roman"/>
          <w:sz w:val="24"/>
          <w:szCs w:val="24"/>
        </w:rPr>
        <w:t>Экспертная оценка современной литературы по законам о</w:t>
      </w:r>
      <w:r>
        <w:rPr>
          <w:rFonts w:ascii="Times New Roman" w:hAnsi="Times New Roman" w:cs="Times New Roman"/>
          <w:sz w:val="24"/>
          <w:szCs w:val="24"/>
        </w:rPr>
        <w:t xml:space="preserve"> свободе информации устанавливае</w:t>
      </w:r>
      <w:r w:rsidRPr="00877CAF">
        <w:rPr>
          <w:rFonts w:ascii="Times New Roman" w:hAnsi="Times New Roman" w:cs="Times New Roman"/>
          <w:sz w:val="24"/>
          <w:szCs w:val="24"/>
        </w:rPr>
        <w:t>т:</w:t>
      </w:r>
    </w:p>
    <w:p w:rsidR="004D2821" w:rsidRPr="00877CA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77CAF">
        <w:rPr>
          <w:rFonts w:ascii="Times New Roman" w:hAnsi="Times New Roman" w:cs="Times New Roman"/>
          <w:sz w:val="24"/>
          <w:szCs w:val="24"/>
        </w:rPr>
        <w:t>(I) число стран, в настоящее время имеющих законы / политику в области свободы слова;</w:t>
      </w:r>
    </w:p>
    <w:p w:rsidR="004D2821" w:rsidRPr="00877CA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77CAF">
        <w:rPr>
          <w:rFonts w:ascii="Times New Roman" w:hAnsi="Times New Roman" w:cs="Times New Roman"/>
          <w:sz w:val="24"/>
          <w:szCs w:val="24"/>
        </w:rPr>
        <w:t>) степень, в которой они отражают «международные соглашения»; а также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77CAF">
        <w:rPr>
          <w:rFonts w:ascii="Times New Roman" w:hAnsi="Times New Roman" w:cs="Times New Roman"/>
          <w:sz w:val="24"/>
          <w:szCs w:val="24"/>
        </w:rPr>
        <w:t>) эффективность механизмов реализации</w:t>
      </w:r>
    </w:p>
    <w:p w:rsidR="004D2821" w:rsidRPr="008B1CF1" w:rsidRDefault="004D2821" w:rsidP="004D2821">
      <w:pPr>
        <w:pStyle w:val="ListParagraph"/>
        <w:numPr>
          <w:ilvl w:val="0"/>
          <w:numId w:val="6"/>
        </w:numPr>
        <w:spacing w:afterLines="200" w:after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1CF1">
        <w:rPr>
          <w:rFonts w:ascii="Times New Roman" w:hAnsi="Times New Roman" w:cs="Times New Roman"/>
          <w:i/>
          <w:sz w:val="24"/>
          <w:szCs w:val="24"/>
        </w:rPr>
        <w:t>На региональном и глобальном уровне</w:t>
      </w:r>
    </w:p>
    <w:p w:rsidR="004D2821" w:rsidRPr="00877CA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77CAF">
        <w:rPr>
          <w:rFonts w:ascii="Times New Roman" w:hAnsi="Times New Roman" w:cs="Times New Roman"/>
          <w:sz w:val="24"/>
          <w:szCs w:val="24"/>
        </w:rPr>
        <w:t xml:space="preserve">Экспертная оценка современной литературы по законам о свободе информации, а также данные внутри стран из </w:t>
      </w:r>
      <w:r>
        <w:rPr>
          <w:rFonts w:ascii="Times New Roman" w:hAnsi="Times New Roman" w:cs="Times New Roman"/>
          <w:sz w:val="24"/>
          <w:szCs w:val="24"/>
        </w:rPr>
        <w:t>СКИ</w:t>
      </w:r>
      <w:r w:rsidRPr="00877CAF">
        <w:rPr>
          <w:rFonts w:ascii="Times New Roman" w:hAnsi="Times New Roman" w:cs="Times New Roman"/>
          <w:sz w:val="24"/>
          <w:szCs w:val="24"/>
        </w:rPr>
        <w:t xml:space="preserve"> ЮНЕСКО (советники по коммуникации и инф</w:t>
      </w:r>
      <w:r>
        <w:rPr>
          <w:rFonts w:ascii="Times New Roman" w:hAnsi="Times New Roman" w:cs="Times New Roman"/>
          <w:sz w:val="24"/>
          <w:szCs w:val="24"/>
        </w:rPr>
        <w:t>ормации) на местах, устанавливаю</w:t>
      </w:r>
      <w:r w:rsidRPr="00877CAF">
        <w:rPr>
          <w:rFonts w:ascii="Times New Roman" w:hAnsi="Times New Roman" w:cs="Times New Roman"/>
          <w:sz w:val="24"/>
          <w:szCs w:val="24"/>
        </w:rPr>
        <w:t>т:</w:t>
      </w:r>
    </w:p>
    <w:p w:rsidR="004D2821" w:rsidRPr="00877CA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77CAF">
        <w:rPr>
          <w:rFonts w:ascii="Times New Roman" w:hAnsi="Times New Roman" w:cs="Times New Roman"/>
          <w:sz w:val="24"/>
          <w:szCs w:val="24"/>
        </w:rPr>
        <w:t>(I) число стран, в настоящее время имеющих законы/политику в области свободы слова;</w:t>
      </w:r>
    </w:p>
    <w:p w:rsidR="004D2821" w:rsidRPr="00877CA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77CAF">
        <w:rPr>
          <w:rFonts w:ascii="Times New Roman" w:hAnsi="Times New Roman" w:cs="Times New Roman"/>
          <w:sz w:val="24"/>
          <w:szCs w:val="24"/>
        </w:rPr>
        <w:t>) степень, в которой они отражают «международные соглашения»; а также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77C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77CAF">
        <w:rPr>
          <w:rFonts w:ascii="Times New Roman" w:hAnsi="Times New Roman" w:cs="Times New Roman"/>
          <w:sz w:val="24"/>
          <w:szCs w:val="24"/>
        </w:rPr>
        <w:t>) эффективность механизмов реализации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097">
        <w:rPr>
          <w:rFonts w:ascii="Times New Roman" w:hAnsi="Times New Roman" w:cs="Times New Roman"/>
          <w:b/>
          <w:sz w:val="24"/>
          <w:szCs w:val="24"/>
        </w:rPr>
        <w:t>Региональные показатели:</w:t>
      </w:r>
    </w:p>
    <w:p w:rsidR="004D2821" w:rsidRPr="00877CA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77CAF">
        <w:rPr>
          <w:rFonts w:ascii="Times New Roman" w:hAnsi="Times New Roman" w:cs="Times New Roman"/>
          <w:sz w:val="24"/>
          <w:szCs w:val="24"/>
        </w:rPr>
        <w:t xml:space="preserve">Экспертная оценка современной литературы по законам о свободе информации, а также данные внутри стран из </w:t>
      </w:r>
      <w:r>
        <w:rPr>
          <w:rFonts w:ascii="Times New Roman" w:hAnsi="Times New Roman" w:cs="Times New Roman"/>
          <w:sz w:val="24"/>
          <w:szCs w:val="24"/>
        </w:rPr>
        <w:t>СКИ</w:t>
      </w:r>
      <w:r w:rsidRPr="00877CAF">
        <w:rPr>
          <w:rFonts w:ascii="Times New Roman" w:hAnsi="Times New Roman" w:cs="Times New Roman"/>
          <w:sz w:val="24"/>
          <w:szCs w:val="24"/>
        </w:rPr>
        <w:t xml:space="preserve"> ЮНЕСКО (советники по коммуникации и инф</w:t>
      </w:r>
      <w:r>
        <w:rPr>
          <w:rFonts w:ascii="Times New Roman" w:hAnsi="Times New Roman" w:cs="Times New Roman"/>
          <w:sz w:val="24"/>
          <w:szCs w:val="24"/>
        </w:rPr>
        <w:t>ормации) на местах, устанавливаю</w:t>
      </w:r>
      <w:r w:rsidRPr="00877CAF">
        <w:rPr>
          <w:rFonts w:ascii="Times New Roman" w:hAnsi="Times New Roman" w:cs="Times New Roman"/>
          <w:sz w:val="24"/>
          <w:szCs w:val="24"/>
        </w:rPr>
        <w:t>т:</w:t>
      </w:r>
    </w:p>
    <w:p w:rsidR="004D2821" w:rsidRPr="00877CA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77CAF">
        <w:rPr>
          <w:rFonts w:ascii="Times New Roman" w:hAnsi="Times New Roman" w:cs="Times New Roman"/>
          <w:sz w:val="24"/>
          <w:szCs w:val="24"/>
        </w:rPr>
        <w:lastRenderedPageBreak/>
        <w:t>(I) общее число стран, в настоящее время имеющих законы/политику в области свободы информации;</w:t>
      </w:r>
    </w:p>
    <w:p w:rsidR="004D2821" w:rsidRPr="00877CA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77CAF">
        <w:rPr>
          <w:rFonts w:ascii="Times New Roman" w:hAnsi="Times New Roman" w:cs="Times New Roman"/>
          <w:sz w:val="24"/>
          <w:szCs w:val="24"/>
        </w:rPr>
        <w:t>) степень, в которой эти законы/политика отражают «международные соглашения»; а также</w:t>
      </w:r>
    </w:p>
    <w:p w:rsidR="004D2821" w:rsidRPr="00877CA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77CAF">
        <w:rPr>
          <w:rFonts w:ascii="Times New Roman" w:hAnsi="Times New Roman" w:cs="Times New Roman"/>
          <w:sz w:val="24"/>
          <w:szCs w:val="24"/>
        </w:rPr>
        <w:t xml:space="preserve">) эффективность существующих механизмов реализации (этот аспект измеряется с точки зрения </w:t>
      </w:r>
      <w:r>
        <w:rPr>
          <w:rFonts w:ascii="Times New Roman" w:hAnsi="Times New Roman" w:cs="Times New Roman"/>
          <w:sz w:val="24"/>
          <w:szCs w:val="24"/>
        </w:rPr>
        <w:t>исследований</w:t>
      </w:r>
      <w:r w:rsidRPr="00877CAF">
        <w:rPr>
          <w:rFonts w:ascii="Times New Roman" w:hAnsi="Times New Roman" w:cs="Times New Roman"/>
          <w:sz w:val="24"/>
          <w:szCs w:val="24"/>
        </w:rPr>
        <w:t>, проводимых различными международными организациями, действующими в этой области)</w:t>
      </w:r>
    </w:p>
    <w:p w:rsidR="004D2821" w:rsidRPr="00BC2097" w:rsidRDefault="004D2821" w:rsidP="004D2821">
      <w:pPr>
        <w:spacing w:afterLines="200"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097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BC2097">
        <w:rPr>
          <w:rFonts w:ascii="Times New Roman" w:hAnsi="Times New Roman" w:cs="Times New Roman"/>
          <w:sz w:val="24"/>
          <w:szCs w:val="24"/>
        </w:rPr>
        <w:t>Описание:</w:t>
      </w:r>
    </w:p>
    <w:p w:rsidR="004D2821" w:rsidRPr="008B1CF1" w:rsidRDefault="004D2821" w:rsidP="004D2821">
      <w:pPr>
        <w:pStyle w:val="ListParagraph"/>
        <w:numPr>
          <w:ilvl w:val="0"/>
          <w:numId w:val="7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Отчеты ЮНЕСКО и Всемирного банка</w:t>
      </w:r>
    </w:p>
    <w:p w:rsidR="004D2821" w:rsidRPr="008B1CF1" w:rsidRDefault="004D2821" w:rsidP="004D2821">
      <w:pPr>
        <w:pStyle w:val="ListParagraph"/>
        <w:numPr>
          <w:ilvl w:val="0"/>
          <w:numId w:val="7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Другие органы ООН, такие как ПРООН</w:t>
      </w:r>
    </w:p>
    <w:p w:rsidR="004D2821" w:rsidRPr="008B1CF1" w:rsidRDefault="004D2821" w:rsidP="004D2821">
      <w:pPr>
        <w:pStyle w:val="ListParagraph"/>
        <w:numPr>
          <w:ilvl w:val="0"/>
          <w:numId w:val="7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Национальные органы, такие как комиссары, ответственные за реализацию прав на информацию</w:t>
      </w:r>
    </w:p>
    <w:p w:rsidR="004D2821" w:rsidRPr="008B1CF1" w:rsidRDefault="004D2821" w:rsidP="004D2821">
      <w:pPr>
        <w:pStyle w:val="ListParagraph"/>
        <w:numPr>
          <w:ilvl w:val="0"/>
          <w:numId w:val="7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Медиа-регуляторы</w:t>
      </w:r>
    </w:p>
    <w:p w:rsidR="004D2821" w:rsidRPr="008B1CF1" w:rsidRDefault="004D2821" w:rsidP="004D2821">
      <w:pPr>
        <w:pStyle w:val="ListParagraph"/>
        <w:numPr>
          <w:ilvl w:val="0"/>
          <w:numId w:val="7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Академические и научно-исследовательские учреждения</w:t>
      </w:r>
    </w:p>
    <w:p w:rsidR="004D2821" w:rsidRPr="008B1CF1" w:rsidRDefault="004D2821" w:rsidP="004D2821">
      <w:pPr>
        <w:pStyle w:val="ListParagraph"/>
        <w:numPr>
          <w:ilvl w:val="0"/>
          <w:numId w:val="7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Поддержка средств массовой информации НПО (национальные и международные)</w:t>
      </w:r>
    </w:p>
    <w:p w:rsidR="004D2821" w:rsidRPr="004D79F5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D79F5">
        <w:rPr>
          <w:rFonts w:ascii="Times New Roman" w:hAnsi="Times New Roman" w:cs="Times New Roman"/>
          <w:sz w:val="24"/>
          <w:szCs w:val="24"/>
        </w:rPr>
        <w:t xml:space="preserve">Методы, используемые для сбора </w:t>
      </w:r>
      <w:r>
        <w:rPr>
          <w:rFonts w:ascii="Times New Roman" w:hAnsi="Times New Roman" w:cs="Times New Roman"/>
          <w:sz w:val="24"/>
          <w:szCs w:val="24"/>
        </w:rPr>
        <w:t>этих данных, варьируются от</w:t>
      </w:r>
      <w:r w:rsidRPr="004D79F5">
        <w:rPr>
          <w:rFonts w:ascii="Times New Roman" w:hAnsi="Times New Roman" w:cs="Times New Roman"/>
          <w:sz w:val="24"/>
          <w:szCs w:val="24"/>
        </w:rPr>
        <w:t xml:space="preserve"> испо</w:t>
      </w:r>
      <w:r>
        <w:rPr>
          <w:rFonts w:ascii="Times New Roman" w:hAnsi="Times New Roman" w:cs="Times New Roman"/>
          <w:sz w:val="24"/>
          <w:szCs w:val="24"/>
        </w:rPr>
        <w:t>льзования</w:t>
      </w:r>
      <w:r w:rsidRPr="004D79F5">
        <w:rPr>
          <w:rFonts w:ascii="Times New Roman" w:hAnsi="Times New Roman" w:cs="Times New Roman"/>
          <w:sz w:val="24"/>
          <w:szCs w:val="24"/>
        </w:rPr>
        <w:t xml:space="preserve"> как количественных, так и качественных, в том числе:</w:t>
      </w:r>
    </w:p>
    <w:p w:rsidR="004D2821" w:rsidRPr="008B1CF1" w:rsidRDefault="004D2821" w:rsidP="004D2821">
      <w:pPr>
        <w:pStyle w:val="ListParagraph"/>
        <w:numPr>
          <w:ilvl w:val="0"/>
          <w:numId w:val="9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Качественные экспертные оценки (Индекс открытого государственного правосудия по вопросам правосудия, начатый в 2015 году и охватывающий 102 страны);</w:t>
      </w:r>
    </w:p>
    <w:p w:rsidR="004D2821" w:rsidRPr="008B1CF1" w:rsidRDefault="004D2821" w:rsidP="004D2821">
      <w:pPr>
        <w:pStyle w:val="ListParagraph"/>
        <w:numPr>
          <w:ilvl w:val="0"/>
          <w:numId w:val="9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Административные записи (например, количество запросов на информацию, количество запросов в течение последних 12 месяцев, количество женщин, которые представляют такие запросы и т. д.),</w:t>
      </w:r>
    </w:p>
    <w:p w:rsidR="004D2821" w:rsidRPr="008B1CF1" w:rsidRDefault="004D2821" w:rsidP="004D2821">
      <w:pPr>
        <w:pStyle w:val="ListParagraph"/>
        <w:numPr>
          <w:ilvl w:val="0"/>
          <w:numId w:val="9"/>
        </w:num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8B1CF1">
        <w:rPr>
          <w:rFonts w:ascii="Times New Roman" w:hAnsi="Times New Roman" w:cs="Times New Roman"/>
          <w:sz w:val="24"/>
          <w:szCs w:val="24"/>
        </w:rPr>
        <w:t>Обзоры (например, доклады ЮНЕСКО «Мировые тенденции в области свободы выражения мнений и развития средств массовой информации и развития средств информации» (РСИ), серия опросов Фонда «Открытое общество», посвященных «Доступу к законам и практике информации», «Обзор мировых ценностей» [www.worldvaluessurvey.org], данные МС по законодательству о доступе к информации и конституционным гарантиям доступа к информации, Всемирная оценка ценностей доверия СМИ] и т. д.)</w:t>
      </w:r>
    </w:p>
    <w:p w:rsidR="004D2821" w:rsidRPr="004D79F5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ООН или соответствующие региональные органы</w:t>
      </w:r>
      <w:r w:rsidRPr="004D79F5">
        <w:rPr>
          <w:rFonts w:ascii="Times New Roman" w:hAnsi="Times New Roman" w:cs="Times New Roman"/>
          <w:sz w:val="24"/>
          <w:szCs w:val="24"/>
        </w:rPr>
        <w:t xml:space="preserve"> содержат детали каждого договора, включая страны, которые подписали, ратифицировали или зарегистрировали любые изъятия из своих обязательств, вместе с общими замечаниями договорных органов по осуществлению.</w:t>
      </w:r>
    </w:p>
    <w:p w:rsidR="004D2821" w:rsidRPr="004D79F5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D79F5">
        <w:rPr>
          <w:rFonts w:ascii="Times New Roman" w:hAnsi="Times New Roman" w:cs="Times New Roman"/>
          <w:sz w:val="24"/>
          <w:szCs w:val="24"/>
        </w:rPr>
        <w:lastRenderedPageBreak/>
        <w:t>Различные международные и региональные докладчики по вопросу о свободе выражения мнения публикуют отчеты по конкретным странам.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D79F5">
        <w:rPr>
          <w:rFonts w:ascii="Times New Roman" w:hAnsi="Times New Roman" w:cs="Times New Roman"/>
          <w:sz w:val="24"/>
          <w:szCs w:val="24"/>
        </w:rPr>
        <w:t>Источниками информации о национальных законах и конституционных гарантиях являются: национальные библиотеки, комиссии по правовым вопросам, официальные документы парламента и государственные документы.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Список: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D79F5">
        <w:rPr>
          <w:rFonts w:ascii="Times New Roman" w:hAnsi="Times New Roman" w:cs="Times New Roman"/>
          <w:sz w:val="24"/>
          <w:szCs w:val="24"/>
        </w:rPr>
        <w:t>Доклады ЮНЕСКО и Всемирного банка; Другие органы ООН; Национальные органы; Индекс открытого государственного правосудия по вопросам правосудия в юстиции, Административные документы, Всемирные тенденции в области свободы выражения мнений и развития средств массовой информации и Показатели развития средств информации (</w:t>
      </w:r>
      <w:r>
        <w:rPr>
          <w:rFonts w:ascii="Times New Roman" w:hAnsi="Times New Roman" w:cs="Times New Roman"/>
          <w:sz w:val="24"/>
          <w:szCs w:val="24"/>
        </w:rPr>
        <w:t>РСИ</w:t>
      </w:r>
      <w:r w:rsidRPr="004D79F5">
        <w:rPr>
          <w:rFonts w:ascii="Times New Roman" w:hAnsi="Times New Roman" w:cs="Times New Roman"/>
          <w:sz w:val="24"/>
          <w:szCs w:val="24"/>
        </w:rPr>
        <w:t>); Фонд «Открытое общество», «Обзор мировых ценностей» [www.worldvaluessurvey.org]; Данные МС по законодательству о доступе к информации и конституционным гарантиям доступа к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79F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бзор доверия СМИ] </w:t>
      </w:r>
      <w:r w:rsidRPr="004D79F5">
        <w:rPr>
          <w:rFonts w:ascii="Times New Roman" w:hAnsi="Times New Roman" w:cs="Times New Roman"/>
          <w:sz w:val="24"/>
          <w:szCs w:val="24"/>
        </w:rPr>
        <w:t>и т.д.)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BC2097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4D2821" w:rsidRPr="00BC2097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D79F5">
        <w:rPr>
          <w:rFonts w:ascii="Times New Roman" w:hAnsi="Times New Roman" w:cs="Times New Roman"/>
          <w:sz w:val="24"/>
          <w:szCs w:val="24"/>
        </w:rPr>
        <w:t xml:space="preserve">ЮНЕСКО использует </w:t>
      </w:r>
      <w:r>
        <w:rPr>
          <w:rFonts w:ascii="Times New Roman" w:hAnsi="Times New Roman" w:cs="Times New Roman"/>
          <w:sz w:val="24"/>
          <w:szCs w:val="24"/>
        </w:rPr>
        <w:t xml:space="preserve">разделяющий на несколько частей метод </w:t>
      </w:r>
      <w:r w:rsidRPr="004D79F5">
        <w:rPr>
          <w:rFonts w:ascii="Times New Roman" w:hAnsi="Times New Roman" w:cs="Times New Roman"/>
          <w:sz w:val="24"/>
          <w:szCs w:val="24"/>
        </w:rPr>
        <w:t>сопоставления данных для глобального мониторинга, который включает (I) базы данных, поддерживаемые другими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международными учреждениями;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D79F5">
        <w:rPr>
          <w:rFonts w:ascii="Times New Roman" w:hAnsi="Times New Roman" w:cs="Times New Roman"/>
          <w:sz w:val="24"/>
          <w:szCs w:val="24"/>
        </w:rPr>
        <w:t xml:space="preserve">) собственные международные опросы, проведенные в странах </w:t>
      </w:r>
      <w:r>
        <w:rPr>
          <w:rFonts w:ascii="Times New Roman" w:hAnsi="Times New Roman" w:cs="Times New Roman"/>
          <w:sz w:val="24"/>
          <w:szCs w:val="24"/>
        </w:rPr>
        <w:t>независимыми организациями, и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D79F5">
        <w:rPr>
          <w:rFonts w:ascii="Times New Roman" w:hAnsi="Times New Roman" w:cs="Times New Roman"/>
          <w:sz w:val="24"/>
          <w:szCs w:val="24"/>
        </w:rPr>
        <w:t xml:space="preserve">) смоделированные и оцененные данные на основе других источников данных. В частности, ЮНЕСКО анализирует данные из различных источников для составления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D79F5">
        <w:rPr>
          <w:rFonts w:ascii="Times New Roman" w:hAnsi="Times New Roman" w:cs="Times New Roman"/>
          <w:sz w:val="24"/>
          <w:szCs w:val="24"/>
        </w:rPr>
        <w:t xml:space="preserve">писка стран, имеющих законы о свободе информации или их эквиваленты. Среди этих организаций и экспертов, которые предоставляют свои данные, являются: Freedominfo.org, </w:t>
      </w:r>
      <w:r>
        <w:rPr>
          <w:rFonts w:ascii="Times New Roman" w:hAnsi="Times New Roman" w:cs="Times New Roman"/>
          <w:sz w:val="24"/>
          <w:szCs w:val="24"/>
        </w:rPr>
        <w:t>«Фриндж Спэшл»</w:t>
      </w:r>
      <w:r w:rsidRPr="004D79F5">
        <w:rPr>
          <w:rFonts w:ascii="Times New Roman" w:hAnsi="Times New Roman" w:cs="Times New Roman"/>
          <w:sz w:val="24"/>
          <w:szCs w:val="24"/>
        </w:rPr>
        <w:t xml:space="preserve">, Роберт Влеугельс, </w:t>
      </w:r>
      <w:r>
        <w:rPr>
          <w:rFonts w:ascii="Times New Roman" w:hAnsi="Times New Roman" w:cs="Times New Roman"/>
          <w:sz w:val="24"/>
          <w:szCs w:val="24"/>
        </w:rPr>
        <w:t xml:space="preserve">Фонд </w:t>
      </w:r>
      <w:r w:rsidRPr="004D79F5">
        <w:rPr>
          <w:rFonts w:ascii="Times New Roman" w:hAnsi="Times New Roman" w:cs="Times New Roman"/>
          <w:sz w:val="24"/>
          <w:szCs w:val="24"/>
        </w:rPr>
        <w:t>«Открытое общество», «Право на информацию» и Центр по праву и демократии, СТАТЬЯ 19. Другие вкл</w:t>
      </w:r>
      <w:r>
        <w:rPr>
          <w:rFonts w:ascii="Times New Roman" w:hAnsi="Times New Roman" w:cs="Times New Roman"/>
          <w:sz w:val="24"/>
          <w:szCs w:val="24"/>
        </w:rPr>
        <w:t>ючают международные учреждения и органы ООН, такие</w:t>
      </w:r>
      <w:r w:rsidRPr="004D79F5">
        <w:rPr>
          <w:rFonts w:ascii="Times New Roman" w:hAnsi="Times New Roman" w:cs="Times New Roman"/>
          <w:sz w:val="24"/>
          <w:szCs w:val="24"/>
        </w:rPr>
        <w:t xml:space="preserve"> как: Всемирный банк, Управление Верховного комиссара по правам человека, Специальный докладчик ООН по поощрению и защите права на свободу мнений и выражений.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097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D79F5">
        <w:rPr>
          <w:rFonts w:ascii="Times New Roman" w:hAnsi="Times New Roman" w:cs="Times New Roman"/>
          <w:sz w:val="24"/>
          <w:szCs w:val="24"/>
        </w:rPr>
        <w:t>Описание:</w:t>
      </w:r>
    </w:p>
    <w:p w:rsidR="004D2821" w:rsidRPr="004D79F5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D79F5">
        <w:rPr>
          <w:rFonts w:ascii="Times New Roman" w:hAnsi="Times New Roman" w:cs="Times New Roman"/>
          <w:sz w:val="24"/>
          <w:szCs w:val="24"/>
        </w:rPr>
        <w:t xml:space="preserve">Данные о существовании законов о свободе информации доступны не менее чем для 195 стран. Тем не менее, для будущего сбора и анализа данных предпринимаются усилия </w:t>
      </w:r>
      <w:r>
        <w:rPr>
          <w:rFonts w:ascii="Times New Roman" w:hAnsi="Times New Roman" w:cs="Times New Roman"/>
          <w:sz w:val="24"/>
          <w:szCs w:val="24"/>
        </w:rPr>
        <w:t>по обеспечению</w:t>
      </w:r>
      <w:r w:rsidRPr="004D79F5">
        <w:rPr>
          <w:rFonts w:ascii="Times New Roman" w:hAnsi="Times New Roman" w:cs="Times New Roman"/>
          <w:sz w:val="24"/>
          <w:szCs w:val="24"/>
        </w:rPr>
        <w:t xml:space="preserve"> анализа данных для получения информации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D79F5">
        <w:rPr>
          <w:rFonts w:ascii="Times New Roman" w:hAnsi="Times New Roman" w:cs="Times New Roman"/>
          <w:sz w:val="24"/>
          <w:szCs w:val="24"/>
        </w:rPr>
        <w:t xml:space="preserve"> аспектах того, как законы ВОИ фактически «реализуются», а не только </w:t>
      </w:r>
      <w:r>
        <w:rPr>
          <w:rFonts w:ascii="Times New Roman" w:hAnsi="Times New Roman" w:cs="Times New Roman"/>
          <w:sz w:val="24"/>
          <w:szCs w:val="24"/>
        </w:rPr>
        <w:t>существуют</w:t>
      </w:r>
      <w:r w:rsidRPr="004D79F5">
        <w:rPr>
          <w:rFonts w:ascii="Times New Roman" w:hAnsi="Times New Roman" w:cs="Times New Roman"/>
          <w:sz w:val="24"/>
          <w:szCs w:val="24"/>
        </w:rPr>
        <w:t>.</w:t>
      </w:r>
    </w:p>
    <w:p w:rsidR="004D2821" w:rsidRPr="00BC2097" w:rsidRDefault="004D2821" w:rsidP="004D2821">
      <w:pPr>
        <w:spacing w:afterLines="200"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097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4D2821" w:rsidRPr="00BC2097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BC2097">
        <w:rPr>
          <w:rFonts w:ascii="Times New Roman" w:hAnsi="Times New Roman" w:cs="Times New Roman"/>
          <w:sz w:val="24"/>
          <w:szCs w:val="24"/>
        </w:rPr>
        <w:lastRenderedPageBreak/>
        <w:t>Сбор данных:</w:t>
      </w:r>
    </w:p>
    <w:p w:rsidR="004D2821" w:rsidRPr="00BC2097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января 2017 года по июль 2017 года</w:t>
      </w:r>
    </w:p>
    <w:p w:rsidR="004D2821" w:rsidRPr="00BC2097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BC2097">
        <w:rPr>
          <w:rFonts w:ascii="Times New Roman" w:hAnsi="Times New Roman" w:cs="Times New Roman"/>
          <w:sz w:val="24"/>
          <w:szCs w:val="24"/>
        </w:rPr>
        <w:t>Выпуск данных:</w:t>
      </w:r>
    </w:p>
    <w:p w:rsidR="004D2821" w:rsidRPr="00BC2097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октября 2017 года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097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:rsidR="004D2821" w:rsidRPr="004D79F5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D79F5">
        <w:rPr>
          <w:rFonts w:ascii="Times New Roman" w:hAnsi="Times New Roman" w:cs="Times New Roman"/>
          <w:sz w:val="24"/>
          <w:szCs w:val="24"/>
        </w:rPr>
        <w:t>Название: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D79F5">
        <w:rPr>
          <w:rFonts w:ascii="Times New Roman" w:hAnsi="Times New Roman" w:cs="Times New Roman"/>
          <w:sz w:val="24"/>
          <w:szCs w:val="24"/>
        </w:rPr>
        <w:t>ЮНЕСКО, Всемирный банк, ПРООН и другие органы ООН; Национальные органы, Академические и исследовательские учреждения, Поддержка СМИ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Описание:</w:t>
      </w:r>
    </w:p>
    <w:p w:rsidR="004D2821" w:rsidRPr="004D79F5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D79F5">
        <w:rPr>
          <w:rFonts w:ascii="Times New Roman" w:hAnsi="Times New Roman" w:cs="Times New Roman"/>
          <w:sz w:val="24"/>
          <w:szCs w:val="24"/>
        </w:rPr>
        <w:t>ЮНЕСКО, в лице национальных сотрудников и региональных советников по вопросам коммуникации и информации в отделениях на местах; Другие органы ООН, такие к</w:t>
      </w:r>
      <w:r>
        <w:rPr>
          <w:rFonts w:ascii="Times New Roman" w:hAnsi="Times New Roman" w:cs="Times New Roman"/>
          <w:sz w:val="24"/>
          <w:szCs w:val="24"/>
        </w:rPr>
        <w:t>ак Всемирный банк, ПРООН и т. д</w:t>
      </w:r>
      <w:r w:rsidRPr="004D79F5">
        <w:rPr>
          <w:rFonts w:ascii="Times New Roman" w:hAnsi="Times New Roman" w:cs="Times New Roman"/>
          <w:sz w:val="24"/>
          <w:szCs w:val="24"/>
        </w:rPr>
        <w:t>.; Национальные органы, такие как комиссары, ответственные за реализацию прав на информацию; Медиарегуляторы; Академические и научно-исследовательские учреждения; Поддержка средств массовой информации НПО (национальные и международные)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097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4D79F5">
        <w:rPr>
          <w:rFonts w:ascii="Times New Roman" w:hAnsi="Times New Roman" w:cs="Times New Roman"/>
          <w:sz w:val="24"/>
          <w:szCs w:val="24"/>
        </w:rPr>
        <w:t>ЮНЕСКО</w:t>
      </w:r>
    </w:p>
    <w:p w:rsid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22F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4D2821" w:rsidRPr="00C5522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C5522F">
        <w:rPr>
          <w:rFonts w:ascii="Times New Roman" w:hAnsi="Times New Roman" w:cs="Times New Roman"/>
          <w:sz w:val="24"/>
          <w:szCs w:val="24"/>
        </w:rPr>
        <w:t>URL:</w:t>
      </w:r>
    </w:p>
    <w:p w:rsidR="004D2821" w:rsidRPr="00C5522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C5522F">
        <w:rPr>
          <w:rFonts w:ascii="Times New Roman" w:hAnsi="Times New Roman" w:cs="Times New Roman"/>
          <w:sz w:val="24"/>
          <w:szCs w:val="24"/>
        </w:rPr>
        <w:t>http://en.unesco.org/</w:t>
      </w:r>
    </w:p>
    <w:p w:rsidR="004D2821" w:rsidRPr="004D2821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</w:t>
      </w:r>
      <w:r w:rsidRPr="004D2821">
        <w:rPr>
          <w:rFonts w:ascii="Times New Roman" w:hAnsi="Times New Roman" w:cs="Times New Roman"/>
          <w:sz w:val="24"/>
          <w:szCs w:val="24"/>
        </w:rPr>
        <w:t>:</w:t>
      </w:r>
    </w:p>
    <w:p w:rsidR="004D2821" w:rsidRPr="00C5522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C5522F">
        <w:rPr>
          <w:rFonts w:ascii="Times New Roman" w:hAnsi="Times New Roman" w:cs="Times New Roman"/>
          <w:sz w:val="24"/>
          <w:szCs w:val="24"/>
          <w:lang w:val="en-US"/>
        </w:rPr>
        <w:t xml:space="preserve">1. UNESCO Media Development Indicators: Framework for assessing media development. </w:t>
      </w:r>
      <w:hyperlink r:id="rId5" w:history="1">
        <w:r w:rsidRPr="00E5307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http://unesdoc.unesco.org/images/0016/001631/163102e.pdf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821" w:rsidRPr="00C5522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522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 World Trends in Freedom of Expression and Media Development: </w:t>
      </w:r>
      <w:hyperlink r:id="rId6" w:history="1">
        <w:r w:rsidRPr="00E5307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http://www.unesco.org/new/en/world-media-trends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D2821" w:rsidRPr="00C5522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</w:rPr>
      </w:pPr>
      <w:r w:rsidRPr="00C5522F">
        <w:rPr>
          <w:rFonts w:ascii="Times New Roman" w:hAnsi="Times New Roman" w:cs="Times New Roman"/>
          <w:sz w:val="24"/>
          <w:szCs w:val="24"/>
          <w:lang w:val="en-US"/>
        </w:rPr>
        <w:t xml:space="preserve">3. Universal Periodic Review: [UNESCO contributes data on freedom of expression, including constitutional guarantees thereof, in addition to tracking killings of journalists]. </w:t>
      </w:r>
      <w:hyperlink r:id="rId7" w:history="1">
        <w:r w:rsidRPr="00E5307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http://www.ohchr.org/en/hrbodies/upr/pages/BasicFacts.aspx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821" w:rsidRPr="00C5522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522F">
        <w:rPr>
          <w:rFonts w:ascii="Times New Roman" w:hAnsi="Times New Roman" w:cs="Times New Roman"/>
          <w:sz w:val="24"/>
          <w:szCs w:val="24"/>
          <w:lang w:val="en-US"/>
        </w:rPr>
        <w:t xml:space="preserve">4. World Justice Project. 2015. Open government and freedom of information: advancing the global conversation. Available [0]: </w:t>
      </w:r>
      <w:hyperlink r:id="rId8" w:history="1">
        <w:r w:rsidRPr="00E5307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http://worldjusticeproject.org/sites/default/files/open_government_and_freedom_of_information_botero-ponce_may_2015.pdf</w:t>
        </w:r>
      </w:hyperlink>
      <w:r w:rsidRPr="00C5522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D2821" w:rsidRPr="00C5522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522F">
        <w:rPr>
          <w:rFonts w:ascii="Times New Roman" w:hAnsi="Times New Roman" w:cs="Times New Roman"/>
          <w:sz w:val="24"/>
          <w:szCs w:val="24"/>
          <w:lang w:val="en-US"/>
        </w:rPr>
        <w:t>5. Open Society Justice Initiative. 2006. Transparency &amp; Silence: A Survey of Access to Information Laws and Practices in Fourteen Countries. Available [0]: https://www.opensocietyfoundations.org/sites/default/files/transparency_20060928.pdf.</w:t>
      </w:r>
    </w:p>
    <w:p w:rsidR="004D2821" w:rsidRPr="00C5522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522F">
        <w:rPr>
          <w:rFonts w:ascii="Times New Roman" w:hAnsi="Times New Roman" w:cs="Times New Roman"/>
          <w:sz w:val="24"/>
          <w:szCs w:val="24"/>
          <w:lang w:val="en-US"/>
        </w:rPr>
        <w:t xml:space="preserve">6. Inter-Parliamentary Union (IPU). 2009. Freedom of Expression and the Right to Information (Resolution adopted by consensus by the 120th IPU Assembly, Addis Ababa, 10 April 2009). Available [0]: </w:t>
      </w:r>
      <w:hyperlink r:id="rId9" w:history="1">
        <w:r w:rsidRPr="00E5307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http://www.right2info.org/resources/publications/ngo-statements/ngo-statements_ipu-declaration</w:t>
        </w:r>
      </w:hyperlink>
      <w:r w:rsidRPr="00C55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D2821" w:rsidRPr="00C5522F" w:rsidRDefault="004D2821" w:rsidP="004D2821">
      <w:pPr>
        <w:spacing w:afterLines="200" w:after="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522F">
        <w:rPr>
          <w:rFonts w:ascii="Times New Roman" w:hAnsi="Times New Roman" w:cs="Times New Roman"/>
          <w:sz w:val="24"/>
          <w:szCs w:val="24"/>
          <w:lang w:val="en-US"/>
        </w:rPr>
        <w:t xml:space="preserve">7. Article 19. 1999. The Public's Right to Know Principles on Freedom of Information Legislation. Available [0]: </w:t>
      </w:r>
      <w:hyperlink r:id="rId10" w:history="1">
        <w:r w:rsidRPr="00C5522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http://www.ipu.org/splz-e/sfe/foi_ps.pdf</w:t>
        </w:r>
      </w:hyperlink>
      <w:r w:rsidRPr="00C552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5522F" w:rsidRPr="004D2821" w:rsidRDefault="00C5522F" w:rsidP="004D2821">
      <w:bookmarkStart w:id="0" w:name="_GoBack"/>
      <w:bookmarkEnd w:id="0"/>
    </w:p>
    <w:sectPr w:rsidR="00C5522F" w:rsidRPr="004D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DengXian Light">
    <w:altName w:val="等线 Light"/>
    <w:panose1 w:val="02010600030101010101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52F9"/>
    <w:multiLevelType w:val="hybridMultilevel"/>
    <w:tmpl w:val="E4648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33B7C"/>
    <w:multiLevelType w:val="hybridMultilevel"/>
    <w:tmpl w:val="524ED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92158"/>
    <w:multiLevelType w:val="hybridMultilevel"/>
    <w:tmpl w:val="777C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705BB"/>
    <w:multiLevelType w:val="hybridMultilevel"/>
    <w:tmpl w:val="0BF898E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D24257"/>
    <w:multiLevelType w:val="hybridMultilevel"/>
    <w:tmpl w:val="00C4D35A"/>
    <w:lvl w:ilvl="0" w:tplc="9AB6B122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F4029"/>
    <w:multiLevelType w:val="hybridMultilevel"/>
    <w:tmpl w:val="6398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B77A1"/>
    <w:multiLevelType w:val="hybridMultilevel"/>
    <w:tmpl w:val="78A0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217AE"/>
    <w:multiLevelType w:val="hybridMultilevel"/>
    <w:tmpl w:val="54C8F2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82E1F"/>
    <w:multiLevelType w:val="hybridMultilevel"/>
    <w:tmpl w:val="2666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A5E"/>
    <w:rsid w:val="000B0A9C"/>
    <w:rsid w:val="00210001"/>
    <w:rsid w:val="003E45D5"/>
    <w:rsid w:val="004023F7"/>
    <w:rsid w:val="00473239"/>
    <w:rsid w:val="004D2821"/>
    <w:rsid w:val="004D79F5"/>
    <w:rsid w:val="00533A5E"/>
    <w:rsid w:val="00703FAC"/>
    <w:rsid w:val="00853687"/>
    <w:rsid w:val="00877CAF"/>
    <w:rsid w:val="008B1CF1"/>
    <w:rsid w:val="009A5074"/>
    <w:rsid w:val="00A04B20"/>
    <w:rsid w:val="00BC2097"/>
    <w:rsid w:val="00C45ECB"/>
    <w:rsid w:val="00C5522F"/>
    <w:rsid w:val="00CA53BA"/>
    <w:rsid w:val="00E5145E"/>
    <w:rsid w:val="00F3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F99D5-1BC8-3640-AD5E-4648E234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04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4B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8B1C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4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220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6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659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45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501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848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532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696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043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1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37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362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2817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39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577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2704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53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615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4205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302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532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732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3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942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527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justiceproject.org/sites/default/files/open_government_and_freedom_of_information_botero-ponce_may_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hchr.org/en/hrbodies/upr/pages/BasicFact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esco.org/new/en/world-media-trend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nesdoc.unesco.org/images/0016/001631/163102e.pdf" TargetMode="External"/><Relationship Id="rId10" Type="http://schemas.openxmlformats.org/officeDocument/2006/relationships/hyperlink" Target="http://www.ipu.org/splz-e/sfe/foi_p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ght2info.org/resources/publications/ngo-statements/ngo-statements_ipu-declar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2518</Words>
  <Characters>14357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Commerzbank AG</Company>
  <LinksUpToDate>false</LinksUpToDate>
  <CharactersWithSpaces>16842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Microsoft Office User</cp:lastModifiedBy>
  <cp:revision>4</cp:revision>
  <dcterms:created xsi:type="dcterms:W3CDTF">2018-03-19T08:09:00Z</dcterms:created>
  <dcterms:modified xsi:type="dcterms:W3CDTF">2021-08-19T17:34:00Z</dcterms:modified>
</cp:coreProperties>
</file>