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7DE" w:rsidRPr="008B1CF1" w:rsidRDefault="005177DE" w:rsidP="005177DE">
      <w:pPr>
        <w:spacing w:after="0" w:line="240" w:lineRule="auto"/>
        <w:jc w:val="both"/>
        <w:rPr>
          <w:rFonts w:ascii="Times New Roman" w:hAnsi="Times New Roman" w:cs="Times New Roman"/>
          <w:b/>
          <w:sz w:val="24"/>
          <w:szCs w:val="24"/>
        </w:rPr>
      </w:pPr>
      <w:r w:rsidRPr="008B1CF1">
        <w:rPr>
          <w:rFonts w:ascii="Times New Roman" w:hAnsi="Times New Roman" w:cs="Times New Roman"/>
          <w:b/>
          <w:sz w:val="24"/>
          <w:szCs w:val="24"/>
        </w:rPr>
        <w:t>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r w:rsidRPr="008B1CF1">
        <w:rPr>
          <w:rFonts w:ascii="Times New Roman" w:hAnsi="Times New Roman" w:cs="Times New Roman"/>
          <w:b/>
          <w:sz w:val="24"/>
          <w:szCs w:val="24"/>
        </w:rPr>
        <w:tab/>
      </w:r>
    </w:p>
    <w:p w:rsidR="005177DE" w:rsidRPr="008B1CF1" w:rsidRDefault="005177DE" w:rsidP="005177DE">
      <w:pPr>
        <w:spacing w:after="0" w:line="240" w:lineRule="auto"/>
        <w:jc w:val="both"/>
        <w:rPr>
          <w:rFonts w:ascii="Times New Roman" w:hAnsi="Times New Roman" w:cs="Times New Roman"/>
          <w:b/>
          <w:sz w:val="24"/>
          <w:szCs w:val="24"/>
        </w:rPr>
      </w:pPr>
      <w:r w:rsidRPr="008B1CF1">
        <w:rPr>
          <w:rFonts w:ascii="Times New Roman" w:hAnsi="Times New Roman" w:cs="Times New Roman"/>
          <w:b/>
          <w:sz w:val="24"/>
          <w:szCs w:val="24"/>
        </w:rPr>
        <w:t>1</w:t>
      </w:r>
      <w:r>
        <w:rPr>
          <w:rFonts w:ascii="Times New Roman" w:hAnsi="Times New Roman" w:cs="Times New Roman"/>
          <w:b/>
          <w:sz w:val="24"/>
          <w:szCs w:val="24"/>
        </w:rPr>
        <w:t>6.</w:t>
      </w:r>
      <w:r w:rsidRPr="009C0F5A">
        <w:rPr>
          <w:rFonts w:ascii="Times New Roman" w:hAnsi="Times New Roman" w:cs="Times New Roman"/>
          <w:b/>
          <w:sz w:val="24"/>
          <w:szCs w:val="24"/>
        </w:rPr>
        <w:t>10</w:t>
      </w:r>
      <w:r w:rsidRPr="008B1CF1">
        <w:rPr>
          <w:rFonts w:ascii="Times New Roman" w:hAnsi="Times New Roman" w:cs="Times New Roman"/>
          <w:b/>
          <w:sz w:val="24"/>
          <w:szCs w:val="24"/>
        </w:rPr>
        <w:t xml:space="preserve"> </w:t>
      </w:r>
      <w:r w:rsidRPr="008B1CF1">
        <w:rPr>
          <w:rFonts w:ascii="Times New Roman" w:hAnsi="Times New Roman" w:cs="Times New Roman"/>
          <w:b/>
          <w:sz w:val="24"/>
          <w:szCs w:val="24"/>
        </w:rPr>
        <w:tab/>
        <w:t>Обеспечить доступ общественности к информации и защитить основные свободы в соответствии с на</w:t>
      </w:r>
      <w:r>
        <w:rPr>
          <w:rFonts w:ascii="Times New Roman" w:hAnsi="Times New Roman" w:cs="Times New Roman"/>
          <w:b/>
          <w:sz w:val="24"/>
          <w:szCs w:val="24"/>
        </w:rPr>
        <w:t xml:space="preserve">циональным законодательством и </w:t>
      </w:r>
      <w:r w:rsidRPr="008B1CF1">
        <w:rPr>
          <w:rFonts w:ascii="Times New Roman" w:hAnsi="Times New Roman" w:cs="Times New Roman"/>
          <w:b/>
          <w:sz w:val="24"/>
          <w:szCs w:val="24"/>
        </w:rPr>
        <w:t xml:space="preserve"> международными соглашениями</w:t>
      </w:r>
    </w:p>
    <w:p w:rsidR="005177DE" w:rsidRPr="00926D82" w:rsidRDefault="005177DE" w:rsidP="005177DE">
      <w:pPr>
        <w:spacing w:after="0" w:line="240" w:lineRule="auto"/>
        <w:jc w:val="both"/>
        <w:rPr>
          <w:rFonts w:ascii="Times New Roman" w:hAnsi="Times New Roman" w:cs="Times New Roman"/>
          <w:b/>
          <w:sz w:val="24"/>
          <w:szCs w:val="24"/>
        </w:rPr>
      </w:pPr>
      <w:r w:rsidRPr="00926D82">
        <w:rPr>
          <w:rFonts w:ascii="Times New Roman" w:hAnsi="Times New Roman" w:cs="Times New Roman"/>
          <w:b/>
          <w:sz w:val="24"/>
          <w:szCs w:val="24"/>
        </w:rPr>
        <w:t>16.10.1 Число подтвержденных случаев убийства, похищения, насильственного исчезновения, произвольного задержания и пыток журналистов и связанных с ними представителей средств массовой информации, профсоюзных деятелей и правозащитников в последние 12 месяцев</w:t>
      </w:r>
      <w:r>
        <w:rPr>
          <w:rStyle w:val="FootnoteReference"/>
          <w:rFonts w:ascii="Times New Roman" w:hAnsi="Times New Roman" w:cs="Times New Roman"/>
          <w:b/>
          <w:sz w:val="24"/>
          <w:szCs w:val="24"/>
        </w:rPr>
        <w:footnoteReference w:id="1"/>
      </w:r>
    </w:p>
    <w:p w:rsidR="005177DE" w:rsidRPr="00926D82" w:rsidRDefault="005177DE" w:rsidP="005177DE">
      <w:pPr>
        <w:spacing w:after="0" w:line="240" w:lineRule="auto"/>
        <w:jc w:val="both"/>
        <w:rPr>
          <w:rFonts w:ascii="Times New Roman" w:hAnsi="Times New Roman" w:cs="Times New Roman"/>
          <w:b/>
          <w:sz w:val="24"/>
          <w:szCs w:val="24"/>
        </w:rPr>
      </w:pPr>
    </w:p>
    <w:p w:rsidR="005177DE" w:rsidRPr="001C4332" w:rsidRDefault="005177DE" w:rsidP="005177DE">
      <w:pPr>
        <w:spacing w:line="240" w:lineRule="auto"/>
        <w:jc w:val="both"/>
        <w:rPr>
          <w:rFonts w:ascii="Times New Roman" w:hAnsi="Times New Roman" w:cs="Times New Roman"/>
          <w:b/>
          <w:sz w:val="24"/>
          <w:szCs w:val="24"/>
        </w:rPr>
      </w:pPr>
      <w:r w:rsidRPr="001C4332">
        <w:rPr>
          <w:rFonts w:ascii="Times New Roman" w:hAnsi="Times New Roman" w:cs="Times New Roman"/>
          <w:b/>
          <w:sz w:val="24"/>
          <w:szCs w:val="24"/>
        </w:rPr>
        <w:t xml:space="preserve">Институциональная информация </w:t>
      </w:r>
    </w:p>
    <w:p w:rsidR="005177DE" w:rsidRPr="001C4332" w:rsidRDefault="005177DE" w:rsidP="005177DE">
      <w:pPr>
        <w:spacing w:line="240" w:lineRule="auto"/>
        <w:jc w:val="both"/>
        <w:rPr>
          <w:rFonts w:ascii="Times New Roman" w:hAnsi="Times New Roman" w:cs="Times New Roman"/>
          <w:sz w:val="24"/>
          <w:szCs w:val="24"/>
        </w:rPr>
      </w:pPr>
      <w:r w:rsidRPr="00BC2097">
        <w:rPr>
          <w:rFonts w:ascii="Times New Roman" w:hAnsi="Times New Roman" w:cs="Times New Roman"/>
          <w:sz w:val="24"/>
          <w:szCs w:val="24"/>
        </w:rPr>
        <w:t>Организация(и):</w:t>
      </w:r>
    </w:p>
    <w:p w:rsidR="005177DE" w:rsidRPr="00926D82" w:rsidRDefault="005177DE" w:rsidP="005177DE">
      <w:pPr>
        <w:spacing w:line="240" w:lineRule="auto"/>
        <w:jc w:val="both"/>
        <w:rPr>
          <w:rFonts w:ascii="Times New Roman" w:hAnsi="Times New Roman" w:cs="Times New Roman"/>
          <w:sz w:val="24"/>
          <w:szCs w:val="24"/>
        </w:rPr>
      </w:pPr>
      <w:r w:rsidRPr="00926D82">
        <w:rPr>
          <w:rFonts w:ascii="Times New Roman" w:hAnsi="Times New Roman" w:cs="Times New Roman"/>
          <w:sz w:val="24"/>
          <w:szCs w:val="24"/>
        </w:rPr>
        <w:t>Управление Верховного комиссара Организации Объединенных Наций по правам человека (УВКПЧ)</w:t>
      </w:r>
    </w:p>
    <w:p w:rsidR="005177DE" w:rsidRPr="00926D82" w:rsidRDefault="005177DE" w:rsidP="005177DE">
      <w:pPr>
        <w:spacing w:after="0" w:line="240" w:lineRule="auto"/>
        <w:jc w:val="both"/>
        <w:rPr>
          <w:rFonts w:ascii="Times New Roman" w:hAnsi="Times New Roman" w:cs="Times New Roman"/>
          <w:sz w:val="24"/>
          <w:szCs w:val="24"/>
        </w:rPr>
      </w:pPr>
      <w:r w:rsidRPr="00926D82">
        <w:rPr>
          <w:rFonts w:ascii="Times New Roman" w:hAnsi="Times New Roman" w:cs="Times New Roman"/>
          <w:sz w:val="24"/>
          <w:szCs w:val="24"/>
        </w:rPr>
        <w:t>Организация Объединенных Наций по вопросам образования, науки и культуры (ЮНЕСКО)</w:t>
      </w:r>
    </w:p>
    <w:p w:rsidR="005177DE" w:rsidRPr="005177DE" w:rsidRDefault="005177DE" w:rsidP="005177DE">
      <w:pPr>
        <w:spacing w:after="0" w:line="240" w:lineRule="auto"/>
        <w:jc w:val="both"/>
        <w:rPr>
          <w:rFonts w:ascii="Times New Roman" w:hAnsi="Times New Roman" w:cs="Times New Roman"/>
          <w:sz w:val="24"/>
          <w:szCs w:val="24"/>
        </w:rPr>
      </w:pPr>
      <w:r w:rsidRPr="00926D82">
        <w:rPr>
          <w:rFonts w:ascii="Times New Roman" w:hAnsi="Times New Roman" w:cs="Times New Roman"/>
          <w:sz w:val="24"/>
          <w:szCs w:val="24"/>
        </w:rPr>
        <w:t>Международная организация труда (МОТ)</w:t>
      </w:r>
    </w:p>
    <w:p w:rsidR="005177DE" w:rsidRPr="005177DE" w:rsidRDefault="005177DE" w:rsidP="005177DE">
      <w:pPr>
        <w:spacing w:after="0" w:line="240" w:lineRule="auto"/>
        <w:jc w:val="both"/>
        <w:rPr>
          <w:rFonts w:ascii="Times New Roman" w:hAnsi="Times New Roman" w:cs="Times New Roman"/>
          <w:sz w:val="24"/>
          <w:szCs w:val="24"/>
        </w:rPr>
      </w:pPr>
    </w:p>
    <w:p w:rsidR="005177DE" w:rsidRPr="001C4332" w:rsidRDefault="005177DE" w:rsidP="005177DE">
      <w:pPr>
        <w:spacing w:line="240" w:lineRule="auto"/>
        <w:jc w:val="both"/>
        <w:rPr>
          <w:rFonts w:ascii="Times New Roman" w:hAnsi="Times New Roman" w:cs="Times New Roman"/>
          <w:b/>
          <w:sz w:val="24"/>
          <w:szCs w:val="24"/>
        </w:rPr>
      </w:pPr>
      <w:r w:rsidRPr="001C4332">
        <w:rPr>
          <w:rFonts w:ascii="Times New Roman" w:hAnsi="Times New Roman" w:cs="Times New Roman"/>
          <w:b/>
          <w:sz w:val="24"/>
          <w:szCs w:val="24"/>
        </w:rPr>
        <w:t>Концепции и определения</w:t>
      </w:r>
    </w:p>
    <w:p w:rsidR="005177DE" w:rsidRPr="00BC2097" w:rsidRDefault="005177DE" w:rsidP="005177DE">
      <w:pPr>
        <w:spacing w:line="240" w:lineRule="auto"/>
        <w:jc w:val="both"/>
        <w:rPr>
          <w:rFonts w:ascii="Times New Roman" w:hAnsi="Times New Roman" w:cs="Times New Roman"/>
          <w:sz w:val="24"/>
          <w:szCs w:val="24"/>
        </w:rPr>
      </w:pPr>
      <w:r w:rsidRPr="00BC2097">
        <w:rPr>
          <w:rFonts w:ascii="Times New Roman" w:hAnsi="Times New Roman" w:cs="Times New Roman"/>
          <w:sz w:val="24"/>
          <w:szCs w:val="24"/>
        </w:rPr>
        <w:t>Определение:</w:t>
      </w:r>
    </w:p>
    <w:p w:rsidR="005177DE" w:rsidRPr="005177DE" w:rsidRDefault="005177DE" w:rsidP="005177DE">
      <w:pPr>
        <w:spacing w:line="240" w:lineRule="auto"/>
        <w:jc w:val="both"/>
        <w:rPr>
          <w:rFonts w:ascii="Times New Roman" w:hAnsi="Times New Roman" w:cs="Times New Roman"/>
          <w:sz w:val="24"/>
          <w:szCs w:val="24"/>
        </w:rPr>
      </w:pPr>
      <w:r w:rsidRPr="00926D82">
        <w:rPr>
          <w:rFonts w:ascii="Times New Roman" w:hAnsi="Times New Roman" w:cs="Times New Roman"/>
          <w:sz w:val="24"/>
          <w:szCs w:val="24"/>
        </w:rPr>
        <w:t>Этот показатель определяется как количество проверенных случаев убийства, насильственного исчезновения, пыток, произвольного задержания, похищения людей и других вредных действий, совершенных в отношении журналистов, профсоюзных активистов и правозащитников на ежегодной основе.</w:t>
      </w:r>
    </w:p>
    <w:p w:rsidR="005177DE" w:rsidRPr="005177DE" w:rsidRDefault="005177DE" w:rsidP="005177DE">
      <w:pPr>
        <w:spacing w:after="0" w:line="240" w:lineRule="auto"/>
        <w:jc w:val="both"/>
        <w:rPr>
          <w:rFonts w:ascii="Times New Roman" w:hAnsi="Times New Roman" w:cs="Times New Roman"/>
          <w:sz w:val="24"/>
          <w:szCs w:val="24"/>
        </w:rPr>
      </w:pPr>
      <w:r w:rsidRPr="001C4332">
        <w:rPr>
          <w:rFonts w:ascii="Times New Roman" w:hAnsi="Times New Roman" w:cs="Times New Roman"/>
          <w:sz w:val="24"/>
          <w:szCs w:val="24"/>
        </w:rPr>
        <w:t>«Журналисты» относятся ко всем, кто наблюдает, описывает, документирует и анализирует события, заявления, политику и любые предложения, которые могут повлиять на общество, с целью систематизации такой информации и сбора фактов и анализов для информирования секторов общества или общества как целые и другие, которые разделяют эти журналистские функции, включая всех работников средств массовой информации и вспомогательного персонала, а также работников средств массовой информации сообщества и так называемых «гражданских журналистов», когда он</w:t>
      </w:r>
      <w:r>
        <w:rPr>
          <w:rFonts w:ascii="Times New Roman" w:hAnsi="Times New Roman" w:cs="Times New Roman"/>
          <w:sz w:val="24"/>
          <w:szCs w:val="24"/>
        </w:rPr>
        <w:t>и на мгновение играют эту роль,</w:t>
      </w:r>
      <w:r>
        <w:rPr>
          <w:rStyle w:val="FootnoteReference"/>
          <w:rFonts w:ascii="Times New Roman" w:hAnsi="Times New Roman" w:cs="Times New Roman"/>
          <w:sz w:val="24"/>
          <w:szCs w:val="24"/>
        </w:rPr>
        <w:footnoteReference w:id="2"/>
      </w:r>
      <w:r w:rsidRPr="001C4332">
        <w:rPr>
          <w:rFonts w:ascii="Times New Roman" w:hAnsi="Times New Roman" w:cs="Times New Roman"/>
          <w:sz w:val="24"/>
          <w:szCs w:val="24"/>
        </w:rPr>
        <w:t xml:space="preserve"> профессиональных журналиста и аналитиков, работающих полный рабочий день, а также блоггеров и других, которые участвуют в формах самостоятельной публикации в печати, в Интернете или в других местах.</w:t>
      </w:r>
      <w:r>
        <w:rPr>
          <w:rStyle w:val="FootnoteReference"/>
          <w:rFonts w:ascii="Times New Roman" w:hAnsi="Times New Roman" w:cs="Times New Roman"/>
          <w:sz w:val="24"/>
          <w:szCs w:val="24"/>
        </w:rPr>
        <w:footnoteReference w:id="3"/>
      </w:r>
    </w:p>
    <w:p w:rsidR="005177DE" w:rsidRPr="005177DE" w:rsidRDefault="005177DE" w:rsidP="005177DE">
      <w:pPr>
        <w:spacing w:after="0" w:line="240" w:lineRule="auto"/>
        <w:jc w:val="both"/>
        <w:rPr>
          <w:rFonts w:ascii="Times New Roman" w:hAnsi="Times New Roman" w:cs="Times New Roman"/>
          <w:sz w:val="24"/>
          <w:szCs w:val="24"/>
        </w:rPr>
      </w:pPr>
    </w:p>
    <w:p w:rsidR="005177DE" w:rsidRDefault="005177DE" w:rsidP="005177DE">
      <w:pPr>
        <w:spacing w:line="240" w:lineRule="auto"/>
        <w:jc w:val="both"/>
        <w:rPr>
          <w:rFonts w:ascii="Times New Roman" w:hAnsi="Times New Roman" w:cs="Times New Roman"/>
          <w:sz w:val="24"/>
          <w:szCs w:val="24"/>
        </w:rPr>
      </w:pPr>
      <w:r w:rsidRPr="001C4332">
        <w:rPr>
          <w:rFonts w:ascii="Times New Roman" w:hAnsi="Times New Roman" w:cs="Times New Roman"/>
          <w:sz w:val="24"/>
          <w:szCs w:val="24"/>
        </w:rPr>
        <w:lastRenderedPageBreak/>
        <w:t>«Профсоюзные деятели» относятся ко всем, кто осуществляет свое право на образование и вступление в профсоюзы для защиты своих интересов.</w:t>
      </w:r>
      <w:r>
        <w:rPr>
          <w:rStyle w:val="FootnoteReference"/>
          <w:rFonts w:ascii="Times New Roman" w:hAnsi="Times New Roman" w:cs="Times New Roman"/>
          <w:sz w:val="24"/>
          <w:szCs w:val="24"/>
        </w:rPr>
        <w:footnoteReference w:id="4"/>
      </w:r>
      <w:r w:rsidRPr="001C4332">
        <w:rPr>
          <w:rFonts w:ascii="Times New Roman" w:hAnsi="Times New Roman" w:cs="Times New Roman"/>
          <w:sz w:val="24"/>
          <w:szCs w:val="24"/>
        </w:rPr>
        <w:t xml:space="preserve"> Профсоюз - объединение работников, организованное для защиты и продвижения своих общих интересов.</w:t>
      </w:r>
      <w:r>
        <w:rPr>
          <w:rStyle w:val="FootnoteReference"/>
          <w:rFonts w:ascii="Times New Roman" w:hAnsi="Times New Roman" w:cs="Times New Roman"/>
          <w:sz w:val="24"/>
          <w:szCs w:val="24"/>
        </w:rPr>
        <w:footnoteReference w:id="5"/>
      </w:r>
    </w:p>
    <w:p w:rsidR="005177DE" w:rsidRDefault="005177DE" w:rsidP="005177DE">
      <w:pPr>
        <w:spacing w:line="240" w:lineRule="auto"/>
        <w:jc w:val="both"/>
        <w:rPr>
          <w:rFonts w:ascii="Times New Roman" w:hAnsi="Times New Roman" w:cs="Times New Roman"/>
          <w:sz w:val="24"/>
          <w:szCs w:val="24"/>
        </w:rPr>
      </w:pPr>
      <w:r w:rsidRPr="001C4332">
        <w:rPr>
          <w:rFonts w:ascii="Times New Roman" w:hAnsi="Times New Roman" w:cs="Times New Roman"/>
          <w:sz w:val="24"/>
          <w:szCs w:val="24"/>
        </w:rPr>
        <w:t>«Правозащитники» относятся ко всем, кто осуществляет свое право, индивидуально и совместно с другими, поощрять и стремиться к защите и осуществлению прав человека и основных свобод на национальном и международном уровнях,</w:t>
      </w:r>
      <w:r>
        <w:rPr>
          <w:rStyle w:val="FootnoteReference"/>
          <w:rFonts w:ascii="Times New Roman" w:hAnsi="Times New Roman" w:cs="Times New Roman"/>
          <w:sz w:val="24"/>
          <w:szCs w:val="24"/>
        </w:rPr>
        <w:footnoteReference w:id="6"/>
      </w:r>
      <w:r w:rsidRPr="001C4332">
        <w:rPr>
          <w:rFonts w:ascii="Times New Roman" w:hAnsi="Times New Roman" w:cs="Times New Roman"/>
          <w:sz w:val="24"/>
          <w:szCs w:val="24"/>
        </w:rPr>
        <w:t xml:space="preserve"> включая некоторых журналистов и профсоюзных активистов. Хотя термин «защитник прав человека» в целом является синонимом «правозащитника», последний предпочтительнее, поскольку он более соответствует международно согласованным стандартам в области прав человека и установившейся практике.</w:t>
      </w:r>
    </w:p>
    <w:p w:rsidR="005177DE" w:rsidRDefault="005177DE" w:rsidP="005177DE">
      <w:pPr>
        <w:spacing w:line="240" w:lineRule="auto"/>
        <w:jc w:val="both"/>
        <w:rPr>
          <w:rFonts w:ascii="Times New Roman" w:hAnsi="Times New Roman" w:cs="Times New Roman"/>
          <w:sz w:val="24"/>
          <w:szCs w:val="24"/>
        </w:rPr>
      </w:pPr>
      <w:r w:rsidRPr="001C4332">
        <w:rPr>
          <w:rFonts w:ascii="Times New Roman" w:hAnsi="Times New Roman" w:cs="Times New Roman"/>
          <w:sz w:val="24"/>
          <w:szCs w:val="24"/>
        </w:rPr>
        <w:t>Различные категории нарушений, отслеживаемых показателем, были определены в соответствии с международным правом и методологическими стандартами и практикой мониторинга, разработанными УВКПЧ и другими международными механизмами, и классифицированы в соответствии с Международной классификацией преступности в статистических целях (</w:t>
      </w:r>
      <w:r w:rsidRPr="00DD5742">
        <w:rPr>
          <w:rFonts w:ascii="Times New Roman" w:hAnsi="Times New Roman" w:cs="Times New Roman"/>
          <w:sz w:val="24"/>
          <w:szCs w:val="24"/>
        </w:rPr>
        <w:t>ICCS</w:t>
      </w:r>
      <w:r w:rsidRPr="001C4332">
        <w:rPr>
          <w:rFonts w:ascii="Times New Roman" w:hAnsi="Times New Roman" w:cs="Times New Roman"/>
          <w:sz w:val="24"/>
          <w:szCs w:val="24"/>
        </w:rPr>
        <w:t xml:space="preserve">), распространяемой ООН Управление по наркотикам и преступности (ЮНОДК). </w:t>
      </w:r>
      <w:r>
        <w:rPr>
          <w:rFonts w:ascii="Times New Roman" w:hAnsi="Times New Roman" w:cs="Times New Roman"/>
          <w:sz w:val="24"/>
          <w:szCs w:val="24"/>
        </w:rPr>
        <w:t>Такие как</w:t>
      </w:r>
      <w:r w:rsidRPr="001C4332">
        <w:rPr>
          <w:rFonts w:ascii="Times New Roman" w:hAnsi="Times New Roman" w:cs="Times New Roman"/>
          <w:sz w:val="24"/>
          <w:szCs w:val="24"/>
        </w:rPr>
        <w:t>:</w:t>
      </w:r>
    </w:p>
    <w:p w:rsidR="005177DE" w:rsidRDefault="005177DE" w:rsidP="005177DE">
      <w:pPr>
        <w:pStyle w:val="ListParagraph"/>
        <w:numPr>
          <w:ilvl w:val="0"/>
          <w:numId w:val="1"/>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 xml:space="preserve">«Убийство» определяется как любое внесудебное исполнение или другое незаконное убийство со стороны государственных субъектов или других субъектов, действующих с разрешением, поддержкой или молчанием государства, которые были мотивированы жертвой или кем-то, связанным с жертвой, участвуя в деятельности в качестве журналиста, торговли профсоюзный активист или правозащитник; или пока жертва была вовлечена в такую ​​деятельность; или лицами или группами, не действующими при поддержке или молчаливом согласии государства, вредные действия которого либо мотивированы жертвой, занимающейся деятельностью в качестве журналиста, профсоюзного активиста или правозащитника, и/или встретились вследствие неспособности должной осмотрительности на часть государства в ответ на эти вредные действия, такая неудача, вызванная жертвой или ассоциированным лицом, занимающимся деятельностью в качестве журналиста, профсоюзного активиста или правозащитника; и другие противоправные нападения и уничтожения в нарушение международного гуманитарного права, которые приводят к смерти жертвы или </w:t>
      </w:r>
      <w:r>
        <w:rPr>
          <w:rFonts w:ascii="Times New Roman" w:hAnsi="Times New Roman" w:cs="Times New Roman"/>
          <w:sz w:val="24"/>
          <w:szCs w:val="24"/>
        </w:rPr>
        <w:t>намереваются убить</w:t>
      </w:r>
      <w:r w:rsidRPr="00DD5742">
        <w:rPr>
          <w:rFonts w:ascii="Times New Roman" w:hAnsi="Times New Roman" w:cs="Times New Roman"/>
          <w:sz w:val="24"/>
          <w:szCs w:val="24"/>
        </w:rPr>
        <w:t>, соответствующие кодам 0101, 0102 и 110139 ICCS и закодированные здесь как A [0101, 0102 и 110139].</w:t>
      </w:r>
    </w:p>
    <w:p w:rsidR="005177DE" w:rsidRDefault="005177DE" w:rsidP="005177DE">
      <w:pPr>
        <w:pStyle w:val="ListParagraph"/>
        <w:numPr>
          <w:ilvl w:val="0"/>
          <w:numId w:val="1"/>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«Насильственное исчезновение» относится к аресту, задержанию, похищению или любой другой форме лишения свободы потерпевшего от агентов государства или лиц или групп лиц, действующих с разрешения, поддержки или молчаливого согласия государства, мотивированного потерпевшим, или кто-то, связанный с жертвой, участвуя в деятельности журналиста, профсоюзного активиста или правозащитника, за которым следует отказ признать лишение свободы или скрытие судьбы или местонахождения жертвы, что ставит жертву за пределы защита закона, соответствующая коду 020222 ICCS (принудительное исчезновение) и кодированная здесь как B [02022ED].</w:t>
      </w:r>
    </w:p>
    <w:p w:rsidR="005177DE" w:rsidRDefault="005177DE" w:rsidP="005177DE">
      <w:pPr>
        <w:pStyle w:val="ListParagraph"/>
        <w:numPr>
          <w:ilvl w:val="0"/>
          <w:numId w:val="1"/>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 xml:space="preserve">«Пытка» относится к любому действию, при котором жестокая боль или страдание, будь то физическое или психическое, умышленно налагаются на журналиста, </w:t>
      </w:r>
      <w:r w:rsidRPr="00DD5742">
        <w:rPr>
          <w:rFonts w:ascii="Times New Roman" w:hAnsi="Times New Roman" w:cs="Times New Roman"/>
          <w:sz w:val="24"/>
          <w:szCs w:val="24"/>
        </w:rPr>
        <w:lastRenderedPageBreak/>
        <w:t>профсоюзного активиста или правозащитника, в целях получения от них или третьего лица информации или признания, наказывающего их запугивание или принуждение к ним или по какой-либо причине, основанной на дискриминации любого рода, когда такая боль или страдание причиняются или подстрекательством или с согласия или молчаливого согласия государственного должностного лица или других лиц, действующих в официальном качестве, соответствующий коду 11011 ICCS и кодированный здесь как C [11011].</w:t>
      </w:r>
    </w:p>
    <w:p w:rsidR="005177DE" w:rsidRDefault="005177DE" w:rsidP="005177DE">
      <w:pPr>
        <w:pStyle w:val="ListParagraph"/>
        <w:numPr>
          <w:ilvl w:val="0"/>
          <w:numId w:val="1"/>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«Произвольное задержание» относится к любому аресту или задержанию не в соответствии с национальными законами, поскольку оно не основано на основах, установленных законом, или не соответствует установленным законом процедурам или иным образом считается произвольным в смысле неуместным, несправедливым, необоснованным или ненужным в данных обстоятельствах и мотивированным жертвой или кем-то, связанным с жертвой, заниматься деятельностью в качестве журналиста, профсоюзного активиста или правозащитника, соответствующего коду ICCS 020222 (незаконное лишение свободы) и кодируется здесь как D [020222AD].</w:t>
      </w:r>
    </w:p>
    <w:p w:rsidR="005177DE" w:rsidRDefault="005177DE" w:rsidP="005177DE">
      <w:pPr>
        <w:pStyle w:val="ListParagraph"/>
        <w:numPr>
          <w:ilvl w:val="0"/>
          <w:numId w:val="1"/>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«Похищение» означает незаконное задержание, удержание и / или ограничение жертвы без их согласия лицами или группами, не действующими при поддержке или молчаливом состоянии государства, а незаконное содержание под стражей и / или лишение свободы было выполнено вследствие неспособности должной осмотрительности со стороны государства в ответ на незаконное задержание, такой отказ, мотивированный ассоциированным лицом-жертвой, осуществляющим деятельность в качестве журналиста, профсоюзного активиста или правозащитника, соответствующего кодам 020221 ICCS и закодированным здесь как E [020221]</w:t>
      </w:r>
      <w:r>
        <w:rPr>
          <w:rFonts w:ascii="Times New Roman" w:hAnsi="Times New Roman" w:cs="Times New Roman"/>
          <w:sz w:val="24"/>
          <w:szCs w:val="24"/>
        </w:rPr>
        <w:t>.</w:t>
      </w:r>
    </w:p>
    <w:p w:rsidR="005177DE" w:rsidRDefault="005177DE" w:rsidP="005177DE">
      <w:pPr>
        <w:pStyle w:val="ListParagraph"/>
        <w:numPr>
          <w:ilvl w:val="0"/>
          <w:numId w:val="1"/>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 xml:space="preserve">«Другие вредные действия» относятся к другим актам государственных субъектов или других субъектов, действующих с разрешением, поддержкой или согласием государства, причиняющим вред или намеревающимся причинить вред и мотивированные жертвой, занимающейся деятельностью в качестве журналиста, профсоюзного активиста или правозащитника, соответствующие кодам 0301, 0219, 110133, 02012, 0205, 0208, 02102 и 0211 </w:t>
      </w:r>
      <w:r w:rsidRPr="00DD5742">
        <w:rPr>
          <w:rFonts w:ascii="Times New Roman" w:hAnsi="Times New Roman" w:cs="Times New Roman"/>
          <w:sz w:val="24"/>
          <w:szCs w:val="24"/>
          <w:lang w:val="en-US"/>
        </w:rPr>
        <w:t>ICCS</w:t>
      </w:r>
      <w:r w:rsidRPr="00DD5742">
        <w:rPr>
          <w:rFonts w:ascii="Times New Roman" w:hAnsi="Times New Roman" w:cs="Times New Roman"/>
          <w:sz w:val="24"/>
          <w:szCs w:val="24"/>
        </w:rPr>
        <w:t xml:space="preserve">, и кодируются здесь как </w:t>
      </w:r>
      <w:r w:rsidRPr="00DD5742">
        <w:rPr>
          <w:rFonts w:ascii="Times New Roman" w:hAnsi="Times New Roman" w:cs="Times New Roman"/>
          <w:sz w:val="24"/>
          <w:szCs w:val="24"/>
          <w:lang w:val="en-US"/>
        </w:rPr>
        <w:t>F</w:t>
      </w:r>
      <w:r w:rsidRPr="00DD5742">
        <w:rPr>
          <w:rFonts w:ascii="Times New Roman" w:hAnsi="Times New Roman" w:cs="Times New Roman"/>
          <w:sz w:val="24"/>
          <w:szCs w:val="24"/>
        </w:rPr>
        <w:t xml:space="preserve"> [0301, 0219, 110133, 02012, 0205, 0208, 0210 и 0211].</w:t>
      </w:r>
    </w:p>
    <w:p w:rsidR="005177DE" w:rsidRDefault="005177DE" w:rsidP="005177DE">
      <w:p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«Проверенные случаи» относятся к сообщаемым случаям, которые содержат минимальный набор релевантной информации о конкретных лицах и обстоятельствах, которые были рассмотрены уполномоченными органами, механизмами и учреждениями, и предоставили им разумные основания полагать, что эти лица были жертвами вышеуказанных нарушения прав человека или злоупотребления.</w:t>
      </w:r>
    </w:p>
    <w:p w:rsidR="005177DE" w:rsidRDefault="005177DE" w:rsidP="005177DE">
      <w:p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Обоснование:</w:t>
      </w:r>
    </w:p>
    <w:p w:rsidR="005177DE" w:rsidRDefault="005177DE" w:rsidP="005177DE">
      <w:p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 xml:space="preserve">Этот показатель направлен на измерение осуществления основных свобод (например, свободу мнений, свободу выражения мнений и доступа к информации, право на мирные собрания и свободу ассоциации) исходя из предпосылки о том, что убийства, насильственные исчезновения, пытки, произвольные задержания, похищения людей и другие вредный акт против журналистов, профсоюзных активистов и правозащитников оказывает холодное влияние на осуществление этих основных свобод. Что отличает этот показатель от показателя 16.1.1 (число жертв преднамеренного убийства на 100 000 населения по полу и возрасту), за исключением более широкого охвата насильственных инцидентов, является мотивацией или причинным фактором, то есть, что нарушение было мотивировано жертвой, имеющей выступали против защиты прав других, осуществления основных свобод или имели место, пока жертва была вовлечена в такую ​​деятельность. Наряду с показателем 16.10.2 (число стран, которые принимают и осуществляют </w:t>
      </w:r>
      <w:r w:rsidRPr="00DD5742">
        <w:rPr>
          <w:rFonts w:ascii="Times New Roman" w:hAnsi="Times New Roman" w:cs="Times New Roman"/>
          <w:sz w:val="24"/>
          <w:szCs w:val="24"/>
        </w:rPr>
        <w:lastRenderedPageBreak/>
        <w:t>конституционные, законодательные и/или политические гарантии для доступа общественности к информации), этот показатель обеспечивает как мгновенный снимок состояния макроэкономики, так и макроуровня состояния вышеупомянутых основных свобод в различных контекстах, а также связь с процессами и структурами, необходимыми для выполнения обязательств в области прав человека в отношении этих основных свобод.</w:t>
      </w:r>
    </w:p>
    <w:p w:rsidR="005177DE" w:rsidRDefault="005177DE" w:rsidP="005177DE">
      <w:pPr>
        <w:spacing w:afterLines="200" w:after="480"/>
        <w:jc w:val="both"/>
        <w:rPr>
          <w:rFonts w:ascii="Times New Roman" w:hAnsi="Times New Roman" w:cs="Times New Roman"/>
          <w:sz w:val="24"/>
          <w:szCs w:val="24"/>
        </w:rPr>
      </w:pPr>
      <w:r w:rsidRPr="00BC2097">
        <w:rPr>
          <w:rFonts w:ascii="Times New Roman" w:hAnsi="Times New Roman" w:cs="Times New Roman"/>
          <w:sz w:val="24"/>
          <w:szCs w:val="24"/>
        </w:rPr>
        <w:t>Основные понятия:</w:t>
      </w:r>
    </w:p>
    <w:p w:rsidR="005177DE" w:rsidRDefault="005177DE" w:rsidP="005177DE">
      <w:p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 xml:space="preserve">Оперативные определения случаев, жертв и других элементов </w:t>
      </w:r>
      <w:r>
        <w:rPr>
          <w:rFonts w:ascii="Times New Roman" w:hAnsi="Times New Roman" w:cs="Times New Roman"/>
          <w:sz w:val="24"/>
          <w:szCs w:val="24"/>
        </w:rPr>
        <w:t>показателя</w:t>
      </w:r>
      <w:r w:rsidRPr="00DD5742">
        <w:rPr>
          <w:rFonts w:ascii="Times New Roman" w:hAnsi="Times New Roman" w:cs="Times New Roman"/>
          <w:sz w:val="24"/>
          <w:szCs w:val="24"/>
        </w:rPr>
        <w:t xml:space="preserve"> были составлены по образцу, насколько это практически возможно, после соответствующих категорий в ICCS. Задача классификации дел влечет за собой наблюдение за событиями как по статистическим стандартам, так и по международному праву. Например, умышленное убийство (код 0101 ICCS) включено как компонент типа «убийства» типа нарушения, и в свою очередь дополняется применимыми стандартами прав человека:</w:t>
      </w:r>
    </w:p>
    <w:p w:rsidR="005177DE" w:rsidRDefault="005177DE" w:rsidP="005177DE">
      <w:pPr>
        <w:pStyle w:val="ListParagraph"/>
        <w:numPr>
          <w:ilvl w:val="0"/>
          <w:numId w:val="2"/>
        </w:num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0101 Преднамеренное убийство. Включения: убийство, серьезное нападение, ведущее к смерти; фемицид; убийство чести; добровольное непредумышленное убийство; убийства, вызванные чрезмерным применением силы сотрудниками правоохранительных органов; внесудебных и внесудебных, суммарных или произвольных казнях. [стандарты прав человека добавлены курсивом]</w:t>
      </w:r>
    </w:p>
    <w:p w:rsidR="005177DE" w:rsidRDefault="005177DE" w:rsidP="005177DE">
      <w:p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Этот концептуальный подход обусловлен слиянием трех факторов. Во-первых, принцип, согласно которому все насильственные действия, отслеживаемые показателем, мотивированы осуществлением основных свобод, гарантируемых законом о правах человека для всех лиц. Во-вторых, в то время как нарушения прав человека не всегда четко квалифицируются в национальных юрисдикциях, ICCS добился определенного успеха в плане включения элементов прав человека в классификацию преступлений. В-третьих, независимо от определений, предусмотренных национальным законодательством или практикой, все события - будь то обычные преступления или нарушения прав человека - которые соответствуют элементам, предусмотренным в рамках определения, будут учитываться в статистических целях.</w:t>
      </w:r>
    </w:p>
    <w:p w:rsidR="005177DE" w:rsidRDefault="005177DE" w:rsidP="005177DE">
      <w:pPr>
        <w:spacing w:afterLines="200" w:after="480"/>
        <w:jc w:val="both"/>
        <w:rPr>
          <w:rFonts w:ascii="Times New Roman" w:hAnsi="Times New Roman" w:cs="Times New Roman"/>
          <w:b/>
          <w:sz w:val="24"/>
          <w:szCs w:val="24"/>
        </w:rPr>
      </w:pPr>
      <w:r w:rsidRPr="00BC2097">
        <w:rPr>
          <w:rFonts w:ascii="Times New Roman" w:hAnsi="Times New Roman" w:cs="Times New Roman"/>
          <w:b/>
          <w:sz w:val="24"/>
          <w:szCs w:val="24"/>
        </w:rPr>
        <w:t>Комментарии и ограничения</w:t>
      </w:r>
    </w:p>
    <w:p w:rsidR="005177DE" w:rsidRDefault="005177DE" w:rsidP="005177DE">
      <w:pPr>
        <w:spacing w:line="240" w:lineRule="auto"/>
        <w:jc w:val="both"/>
        <w:rPr>
          <w:rFonts w:ascii="Times New Roman" w:hAnsi="Times New Roman" w:cs="Times New Roman"/>
          <w:sz w:val="24"/>
          <w:szCs w:val="24"/>
        </w:rPr>
      </w:pPr>
      <w:r w:rsidRPr="00DD5742">
        <w:rPr>
          <w:rFonts w:ascii="Times New Roman" w:hAnsi="Times New Roman" w:cs="Times New Roman"/>
          <w:sz w:val="24"/>
          <w:szCs w:val="24"/>
        </w:rPr>
        <w:t>Что касается других статистических данных о преступлениях и других статистических данных, основанных на административных источниках, этот показатель чувствителен к полноте отчетности о отдельных событиях. Существует реальный, но управляемый риск занижения отчетности. Кроме того, на показатели отчетности и статистическую точность влияют различные факторы, в том числе изменения и предубеждения в отношении поведения жертвы, изменения в полиции и практики регистрации или правила, новые законы, ошибки обработки и невосприимчивые учреждения. Региональные и глобальные агрегаты могут недооценивать истинную заболеваемость и объем виктимизации, сверхкомпенсацию для надежных и инклюзивных национальных систем сбора данных. В большинстве случаев количество зарегистрированных случаев будет зависеть от доступа к информации, мотивации и настойчивости национальных заинтересованных сторон, самих правозащитников и соответствующей поддержки международного сообщества.</w:t>
      </w:r>
    </w:p>
    <w:p w:rsidR="005177DE" w:rsidRPr="00BC2097" w:rsidRDefault="005177DE" w:rsidP="005177DE">
      <w:pPr>
        <w:spacing w:afterLines="200" w:after="480"/>
        <w:jc w:val="both"/>
        <w:rPr>
          <w:rFonts w:ascii="Times New Roman" w:hAnsi="Times New Roman" w:cs="Times New Roman"/>
          <w:b/>
          <w:sz w:val="24"/>
          <w:szCs w:val="24"/>
        </w:rPr>
      </w:pPr>
      <w:r w:rsidRPr="00BC2097">
        <w:rPr>
          <w:rFonts w:ascii="Times New Roman" w:hAnsi="Times New Roman" w:cs="Times New Roman"/>
          <w:b/>
          <w:sz w:val="24"/>
          <w:szCs w:val="24"/>
        </w:rPr>
        <w:t>Методология</w:t>
      </w:r>
    </w:p>
    <w:p w:rsidR="005177DE" w:rsidRDefault="005177DE" w:rsidP="005177DE">
      <w:pPr>
        <w:spacing w:afterLines="200" w:after="480"/>
        <w:jc w:val="both"/>
        <w:rPr>
          <w:rFonts w:ascii="Times New Roman" w:hAnsi="Times New Roman" w:cs="Times New Roman"/>
          <w:sz w:val="24"/>
          <w:szCs w:val="24"/>
        </w:rPr>
      </w:pPr>
      <w:r w:rsidRPr="00BC2097">
        <w:rPr>
          <w:rFonts w:ascii="Times New Roman" w:hAnsi="Times New Roman" w:cs="Times New Roman"/>
          <w:sz w:val="24"/>
          <w:szCs w:val="24"/>
        </w:rPr>
        <w:t>Метод расчета:</w:t>
      </w:r>
    </w:p>
    <w:p w:rsidR="005177DE" w:rsidRDefault="005177DE" w:rsidP="005177DE">
      <w:p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lastRenderedPageBreak/>
        <w:t>Показатель рассчитывается как общее количество жертв зарегистрированных инцидентов, имевших место в течение предыдущих 12 месяцев.</w:t>
      </w:r>
    </w:p>
    <w:p w:rsidR="005177DE" w:rsidRDefault="005177DE" w:rsidP="005177DE">
      <w:p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На основе ICCS, которая является международной системой классификации на основе инцидентов, показатель подсчитывает жертв на основе случаев нарушений или злоупотреблений с использованием рамок классификации, разработанных для целей показателя.</w:t>
      </w:r>
    </w:p>
    <w:p w:rsidR="005177DE" w:rsidRDefault="005177DE" w:rsidP="005177DE">
      <w:p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В целях отчетности зарегистрированные правонарушения будут назначаться с учетом иерархии нарушений или злоупотреблений на основе правила «самого серьезного преступления», обычно применяемого в статистике преступности:</w:t>
      </w:r>
    </w:p>
    <w:p w:rsidR="005177DE" w:rsidRPr="00792682" w:rsidRDefault="005177DE" w:rsidP="005177DE">
      <w:pPr>
        <w:pStyle w:val="ListParagraph"/>
        <w:numPr>
          <w:ilvl w:val="0"/>
          <w:numId w:val="3"/>
        </w:num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Убийство</w:t>
      </w:r>
    </w:p>
    <w:p w:rsidR="005177DE" w:rsidRPr="00792682" w:rsidRDefault="005177DE" w:rsidP="005177DE">
      <w:pPr>
        <w:pStyle w:val="ListParagraph"/>
        <w:numPr>
          <w:ilvl w:val="0"/>
          <w:numId w:val="3"/>
        </w:num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Пытки</w:t>
      </w:r>
    </w:p>
    <w:p w:rsidR="005177DE" w:rsidRPr="00792682" w:rsidRDefault="005177DE" w:rsidP="005177DE">
      <w:pPr>
        <w:pStyle w:val="ListParagraph"/>
        <w:numPr>
          <w:ilvl w:val="0"/>
          <w:numId w:val="3"/>
        </w:num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Насильственное исчезновение</w:t>
      </w:r>
    </w:p>
    <w:p w:rsidR="005177DE" w:rsidRPr="00792682" w:rsidRDefault="005177DE" w:rsidP="005177DE">
      <w:pPr>
        <w:pStyle w:val="ListParagraph"/>
        <w:numPr>
          <w:ilvl w:val="0"/>
          <w:numId w:val="3"/>
        </w:num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Произвольное задержание</w:t>
      </w:r>
    </w:p>
    <w:p w:rsidR="005177DE" w:rsidRPr="00792682" w:rsidRDefault="005177DE" w:rsidP="005177DE">
      <w:pPr>
        <w:pStyle w:val="ListParagraph"/>
        <w:numPr>
          <w:ilvl w:val="0"/>
          <w:numId w:val="3"/>
        </w:num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Похищение</w:t>
      </w:r>
    </w:p>
    <w:p w:rsidR="005177DE" w:rsidRDefault="005177DE" w:rsidP="005177DE">
      <w:pPr>
        <w:pStyle w:val="ListParagraph"/>
        <w:numPr>
          <w:ilvl w:val="0"/>
          <w:numId w:val="3"/>
        </w:num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Другие вредные действия</w:t>
      </w:r>
    </w:p>
    <w:p w:rsidR="005177DE" w:rsidRDefault="005177DE" w:rsidP="005177DE">
      <w:p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Если инцидент включает элементы более чем одной категории, он кодируется в более высокую категорию. Таким образом, в случае инцидента, в ходе которого жертва подвергалась длительному заключению без связи с внешним миром без материального доступа в ходе незаконного задержания, это нарушение будет считаться пыткой</w:t>
      </w:r>
      <w:r>
        <w:rPr>
          <w:rFonts w:ascii="Times New Roman" w:hAnsi="Times New Roman" w:cs="Times New Roman"/>
          <w:sz w:val="24"/>
          <w:szCs w:val="24"/>
        </w:rPr>
        <w:t>.</w:t>
      </w:r>
    </w:p>
    <w:p w:rsidR="005177DE" w:rsidRDefault="005177DE" w:rsidP="005177DE">
      <w:pPr>
        <w:spacing w:afterLines="200" w:after="480"/>
        <w:jc w:val="both"/>
        <w:rPr>
          <w:rFonts w:ascii="Times New Roman" w:hAnsi="Times New Roman" w:cs="Times New Roman"/>
          <w:b/>
          <w:sz w:val="24"/>
          <w:szCs w:val="24"/>
        </w:rPr>
      </w:pPr>
      <w:r w:rsidRPr="00BC2097">
        <w:rPr>
          <w:rFonts w:ascii="Times New Roman" w:hAnsi="Times New Roman" w:cs="Times New Roman"/>
          <w:b/>
          <w:sz w:val="24"/>
          <w:szCs w:val="24"/>
        </w:rPr>
        <w:t>Дезагрегация:</w:t>
      </w:r>
    </w:p>
    <w:p w:rsidR="005177DE" w:rsidRDefault="005177DE" w:rsidP="005177DE">
      <w:pPr>
        <w:spacing w:line="240" w:lineRule="auto"/>
        <w:jc w:val="both"/>
        <w:rPr>
          <w:rFonts w:ascii="Times New Roman" w:hAnsi="Times New Roman" w:cs="Times New Roman"/>
          <w:sz w:val="24"/>
          <w:szCs w:val="24"/>
        </w:rPr>
      </w:pPr>
      <w:r w:rsidRPr="00792682">
        <w:rPr>
          <w:rFonts w:ascii="Times New Roman" w:hAnsi="Times New Roman" w:cs="Times New Roman"/>
          <w:sz w:val="24"/>
          <w:szCs w:val="24"/>
        </w:rPr>
        <w:t xml:space="preserve">Используя минимальные требования к данным, </w:t>
      </w:r>
      <w:r>
        <w:rPr>
          <w:rFonts w:ascii="Times New Roman" w:hAnsi="Times New Roman" w:cs="Times New Roman"/>
          <w:sz w:val="24"/>
          <w:szCs w:val="24"/>
        </w:rPr>
        <w:t>показатель</w:t>
      </w:r>
      <w:r w:rsidRPr="00792682">
        <w:rPr>
          <w:rFonts w:ascii="Times New Roman" w:hAnsi="Times New Roman" w:cs="Times New Roman"/>
          <w:sz w:val="24"/>
          <w:szCs w:val="24"/>
        </w:rPr>
        <w:t xml:space="preserve"> стремится обеспечить следующую дезагрегацию:</w:t>
      </w:r>
    </w:p>
    <w:p w:rsidR="005177DE" w:rsidRPr="00B40F1E" w:rsidRDefault="005177DE" w:rsidP="005177DE">
      <w:pPr>
        <w:pStyle w:val="ListParagraph"/>
        <w:numPr>
          <w:ilvl w:val="0"/>
          <w:numId w:val="2"/>
        </w:num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Пол и возрастные группы</w:t>
      </w:r>
    </w:p>
    <w:p w:rsidR="005177DE" w:rsidRPr="00B40F1E" w:rsidRDefault="005177DE" w:rsidP="005177DE">
      <w:pPr>
        <w:pStyle w:val="ListParagraph"/>
        <w:numPr>
          <w:ilvl w:val="0"/>
          <w:numId w:val="2"/>
        </w:num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Тип нарушения или злоупотребления</w:t>
      </w:r>
    </w:p>
    <w:p w:rsidR="005177DE" w:rsidRPr="00B40F1E" w:rsidRDefault="005177DE" w:rsidP="005177DE">
      <w:pPr>
        <w:pStyle w:val="ListParagraph"/>
        <w:numPr>
          <w:ilvl w:val="0"/>
          <w:numId w:val="2"/>
        </w:num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 xml:space="preserve">Статус исполнителя, например, государственный субъект против </w:t>
      </w:r>
      <w:r>
        <w:rPr>
          <w:rFonts w:ascii="Times New Roman" w:hAnsi="Times New Roman" w:cs="Times New Roman"/>
          <w:sz w:val="24"/>
          <w:szCs w:val="24"/>
        </w:rPr>
        <w:t xml:space="preserve"> н</w:t>
      </w:r>
      <w:r w:rsidRPr="00B40F1E">
        <w:rPr>
          <w:rFonts w:ascii="Times New Roman" w:hAnsi="Times New Roman" w:cs="Times New Roman"/>
          <w:sz w:val="24"/>
          <w:szCs w:val="24"/>
        </w:rPr>
        <w:t>егосударственных субъектов</w:t>
      </w:r>
    </w:p>
    <w:p w:rsidR="005177DE" w:rsidRDefault="005177DE" w:rsidP="005177DE">
      <w:pPr>
        <w:pStyle w:val="ListParagraph"/>
        <w:numPr>
          <w:ilvl w:val="0"/>
          <w:numId w:val="2"/>
        </w:num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Географическое положение инцидента</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 xml:space="preserve">В некоторых случаях желательные или дополнительные требования к данным могут использоваться для того, чтобы показать взаимосвязь и уязвимость в основных функциональных категориях. Учитывая, что, например, </w:t>
      </w:r>
      <w:r>
        <w:rPr>
          <w:rFonts w:ascii="Times New Roman" w:hAnsi="Times New Roman" w:cs="Times New Roman"/>
          <w:sz w:val="24"/>
          <w:szCs w:val="24"/>
        </w:rPr>
        <w:t>показатель</w:t>
      </w:r>
      <w:r w:rsidRPr="00B40F1E">
        <w:rPr>
          <w:rFonts w:ascii="Times New Roman" w:hAnsi="Times New Roman" w:cs="Times New Roman"/>
          <w:sz w:val="24"/>
          <w:szCs w:val="24"/>
        </w:rPr>
        <w:t xml:space="preserve"> может предоставлять дезагрегированные данные по конкретным группам правозащитников в соответствии с проблемами, народами и общинами, которые они поддерживают, что влечет за собой конкретные риски и социально-правовые барьеры.</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 xml:space="preserve">При надлежащей дезагрегации данных воздействие гендерного насилия, такого как фемицид, может быть количественно оценено с использованием этого показателя. Кроме того, можно добавить дополнительные категории данных, чтобы показать взаимосвязь и уязвимость и предоставить эмпирические данные о дифференцированных рисках и трудных контекстах, которые испытывают конкретные категории правозащитников, журналистов или профсоюзных активистов. Это связано с тем, что гендер значительно влияет на то, как они могут столкнуться с рисками и угрозами. На дискриминацию по признаку пола также могут влиять другие факторы, такие как раса, инвалидность и другие социально-несостоятельные недостатки. Пересечение этих факторов создает различные уязвимости. Поэтому было бы полезно собрать имеющиеся данные об защищенных основаниях или характеристиках человека, которые не должны считаться относящимися к дифференцированному режиму или осуществлению конкретной выгоды. Дезагрегация сексуальной ориентации и гендерной идентичности жертв и любых других запрещенных </w:t>
      </w:r>
      <w:r w:rsidRPr="00B40F1E">
        <w:rPr>
          <w:rFonts w:ascii="Times New Roman" w:hAnsi="Times New Roman" w:cs="Times New Roman"/>
          <w:sz w:val="24"/>
          <w:szCs w:val="24"/>
        </w:rPr>
        <w:lastRenderedPageBreak/>
        <w:t>оснований дискриминации должна проводиться в соответствии с руководящими указаниями УВКПЧ в отношении подхода к данным на основе прав человека.</w:t>
      </w:r>
    </w:p>
    <w:p w:rsidR="005177DE" w:rsidRPr="00B40F1E" w:rsidRDefault="005177DE" w:rsidP="005177DE">
      <w:pPr>
        <w:spacing w:line="240" w:lineRule="auto"/>
        <w:jc w:val="both"/>
        <w:rPr>
          <w:rFonts w:ascii="Times New Roman" w:hAnsi="Times New Roman" w:cs="Times New Roman"/>
          <w:b/>
          <w:sz w:val="24"/>
          <w:szCs w:val="24"/>
        </w:rPr>
      </w:pPr>
      <w:r w:rsidRPr="00B40F1E">
        <w:rPr>
          <w:rFonts w:ascii="Times New Roman" w:hAnsi="Times New Roman" w:cs="Times New Roman"/>
          <w:b/>
          <w:sz w:val="24"/>
          <w:szCs w:val="24"/>
        </w:rPr>
        <w:t>Обработка отсутствующих значений:</w:t>
      </w:r>
    </w:p>
    <w:p w:rsidR="005177DE" w:rsidRPr="00B40F1E" w:rsidRDefault="005177DE" w:rsidP="005177DE">
      <w:pPr>
        <w:pStyle w:val="ListParagraph"/>
        <w:numPr>
          <w:ilvl w:val="0"/>
          <w:numId w:val="5"/>
        </w:numPr>
        <w:spacing w:line="240" w:lineRule="auto"/>
        <w:jc w:val="both"/>
        <w:rPr>
          <w:rFonts w:ascii="Times New Roman" w:hAnsi="Times New Roman" w:cs="Times New Roman"/>
          <w:i/>
          <w:sz w:val="24"/>
          <w:szCs w:val="24"/>
        </w:rPr>
      </w:pPr>
      <w:r w:rsidRPr="00B40F1E">
        <w:rPr>
          <w:rFonts w:ascii="Times New Roman" w:hAnsi="Times New Roman" w:cs="Times New Roman"/>
          <w:i/>
          <w:sz w:val="24"/>
          <w:szCs w:val="24"/>
        </w:rPr>
        <w:t>На уровне страны</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Оценки для пропущенных значений производиться не будут</w:t>
      </w:r>
    </w:p>
    <w:p w:rsidR="005177DE" w:rsidRPr="00B40F1E" w:rsidRDefault="005177DE" w:rsidP="005177DE">
      <w:pPr>
        <w:pStyle w:val="ListParagraph"/>
        <w:numPr>
          <w:ilvl w:val="0"/>
          <w:numId w:val="5"/>
        </w:numPr>
        <w:spacing w:line="240" w:lineRule="auto"/>
        <w:jc w:val="both"/>
        <w:rPr>
          <w:rFonts w:ascii="Times New Roman" w:hAnsi="Times New Roman" w:cs="Times New Roman"/>
          <w:sz w:val="24"/>
          <w:szCs w:val="24"/>
        </w:rPr>
      </w:pPr>
      <w:r w:rsidRPr="008B1CF1">
        <w:rPr>
          <w:rFonts w:ascii="Times New Roman" w:hAnsi="Times New Roman" w:cs="Times New Roman"/>
          <w:i/>
          <w:sz w:val="24"/>
          <w:szCs w:val="24"/>
        </w:rPr>
        <w:t>На региональном и глобальном уровне</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Оценки для пропущенных значений производиться не будут</w:t>
      </w:r>
    </w:p>
    <w:p w:rsidR="005177DE" w:rsidRPr="00B40F1E" w:rsidRDefault="005177DE" w:rsidP="005177DE">
      <w:pPr>
        <w:spacing w:line="240" w:lineRule="auto"/>
        <w:jc w:val="both"/>
        <w:rPr>
          <w:rFonts w:ascii="Times New Roman" w:hAnsi="Times New Roman" w:cs="Times New Roman"/>
          <w:b/>
          <w:sz w:val="24"/>
          <w:szCs w:val="24"/>
        </w:rPr>
      </w:pPr>
      <w:r w:rsidRPr="00B40F1E">
        <w:rPr>
          <w:rFonts w:ascii="Times New Roman" w:hAnsi="Times New Roman" w:cs="Times New Roman"/>
          <w:b/>
          <w:sz w:val="24"/>
          <w:szCs w:val="24"/>
        </w:rPr>
        <w:t>Региональные показатели:</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Региональные агрегаты будут произведены, но не будут оцениваться в отношении недостающих данных.</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Источники расхождений:</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Учитывая общие проблемы в области других статистических данных о преступности и источников административных данных, ожидается, что этот показатель будет страдать от недооценки в некоторых странах/контекстах. Глобальные поставщики данных полагаются на отчеты из национальных источников с различным потенциалом для документирования инцидентов и взаимодействия с международными механизмами. С созданием надежных национальных систем сбора данных, состоящих из национальных учреждений по правам человека, национальных статистических управлений и организаций гражданского общества, поддерживающих глобальный сбор данных, при поддержке программ наращивания потенциала и периодической оценки соответствующих сетей, ожидается, что расхождения будут постепенно смягчаться</w:t>
      </w:r>
      <w:r>
        <w:rPr>
          <w:rFonts w:ascii="Times New Roman" w:hAnsi="Times New Roman" w:cs="Times New Roman"/>
          <w:sz w:val="24"/>
          <w:szCs w:val="24"/>
        </w:rPr>
        <w:t>.</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 xml:space="preserve">Хотя национальные данные по-прежнему могут составляться в соответствии с национальными правовыми системами, а не ICCS, УВКПЧ и его партнерские агентства будут поддерживать ЮНОДК, поскольку оно предпринимает особые усилия для обеспечения постепенного осуществления </w:t>
      </w:r>
      <w:r w:rsidRPr="008B2A03">
        <w:rPr>
          <w:rFonts w:ascii="Times New Roman" w:hAnsi="Times New Roman" w:cs="Times New Roman"/>
          <w:sz w:val="24"/>
          <w:szCs w:val="24"/>
        </w:rPr>
        <w:t xml:space="preserve">ICCS </w:t>
      </w:r>
      <w:r w:rsidRPr="00B40F1E">
        <w:rPr>
          <w:rFonts w:ascii="Times New Roman" w:hAnsi="Times New Roman" w:cs="Times New Roman"/>
          <w:sz w:val="24"/>
          <w:szCs w:val="24"/>
        </w:rPr>
        <w:t>странами. Со временем это должно способствовать повышению качества и согласованности национальных и международных данных.</w:t>
      </w:r>
    </w:p>
    <w:p w:rsidR="005177DE" w:rsidRPr="00B40F1E" w:rsidRDefault="005177DE" w:rsidP="005177DE">
      <w:pPr>
        <w:spacing w:line="240" w:lineRule="auto"/>
        <w:jc w:val="both"/>
        <w:rPr>
          <w:rFonts w:ascii="Times New Roman" w:hAnsi="Times New Roman" w:cs="Times New Roman"/>
          <w:b/>
          <w:sz w:val="24"/>
          <w:szCs w:val="24"/>
        </w:rPr>
      </w:pPr>
      <w:r w:rsidRPr="00B40F1E">
        <w:rPr>
          <w:rFonts w:ascii="Times New Roman" w:hAnsi="Times New Roman" w:cs="Times New Roman"/>
          <w:b/>
          <w:sz w:val="24"/>
          <w:szCs w:val="24"/>
        </w:rPr>
        <w:t>Источники данных</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Описание:</w:t>
      </w:r>
    </w:p>
    <w:p w:rsidR="005177DE" w:rsidRDefault="005177DE" w:rsidP="005177DE">
      <w:p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Данные будут собираться от глобальных, региональных и национальных уполномоченных органов, механизмов и учреждений, которые генерируют и поддерживают административные данные, будь то в агрегированной форме или на микроуровне:</w:t>
      </w:r>
    </w:p>
    <w:p w:rsidR="005177DE" w:rsidRDefault="005177DE" w:rsidP="005177DE">
      <w:pPr>
        <w:pStyle w:val="ListParagraph"/>
        <w:numPr>
          <w:ilvl w:val="0"/>
          <w:numId w:val="5"/>
        </w:num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Глобальные механизмы</w:t>
      </w:r>
    </w:p>
    <w:p w:rsidR="005177DE" w:rsidRDefault="005177DE" w:rsidP="005177DE">
      <w:pPr>
        <w:pStyle w:val="ListParagraph"/>
        <w:numPr>
          <w:ilvl w:val="1"/>
          <w:numId w:val="5"/>
        </w:numPr>
        <w:spacing w:line="240" w:lineRule="auto"/>
        <w:jc w:val="both"/>
        <w:rPr>
          <w:rFonts w:ascii="Times New Roman" w:hAnsi="Times New Roman" w:cs="Times New Roman"/>
          <w:sz w:val="24"/>
          <w:szCs w:val="24"/>
        </w:rPr>
      </w:pPr>
      <w:r w:rsidRPr="00B40F1E">
        <w:rPr>
          <w:rFonts w:ascii="Times New Roman" w:hAnsi="Times New Roman" w:cs="Times New Roman"/>
          <w:sz w:val="24"/>
          <w:szCs w:val="24"/>
        </w:rPr>
        <w:t>УВКПЧ</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Данные по мониторингу УВКПЧ</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Данные о работе Специальных процедур Совета по правам человека</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Данные из системы отчетности договорных органов</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 xml:space="preserve">Пресс-релизы и заявления Верховного комиссара ООН по правам </w:t>
      </w:r>
      <w:r>
        <w:rPr>
          <w:rFonts w:ascii="Times New Roman" w:hAnsi="Times New Roman" w:cs="Times New Roman"/>
          <w:sz w:val="24"/>
          <w:szCs w:val="24"/>
        </w:rPr>
        <w:t>ч</w:t>
      </w:r>
      <w:r w:rsidRPr="002C0F20">
        <w:rPr>
          <w:rFonts w:ascii="Times New Roman" w:hAnsi="Times New Roman" w:cs="Times New Roman"/>
          <w:sz w:val="24"/>
          <w:szCs w:val="24"/>
        </w:rPr>
        <w:t>еловека</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права</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Другие доклады и публикации, такие как Отчет Генерального секретаря ООН о репрессиях</w:t>
      </w:r>
    </w:p>
    <w:p w:rsidR="005177DE"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Другие утвержденные отчеты и публикации</w:t>
      </w:r>
    </w:p>
    <w:p w:rsidR="005177DE" w:rsidRDefault="005177DE" w:rsidP="005177DE">
      <w:pPr>
        <w:pStyle w:val="ListParagraph"/>
        <w:numPr>
          <w:ilvl w:val="1"/>
          <w:numId w:val="5"/>
        </w:numPr>
        <w:spacing w:line="240" w:lineRule="auto"/>
        <w:jc w:val="both"/>
        <w:rPr>
          <w:rFonts w:ascii="Times New Roman" w:hAnsi="Times New Roman" w:cs="Times New Roman"/>
          <w:sz w:val="24"/>
          <w:szCs w:val="24"/>
        </w:rPr>
      </w:pPr>
      <w:r w:rsidRPr="00926D82">
        <w:rPr>
          <w:rFonts w:ascii="Times New Roman" w:hAnsi="Times New Roman" w:cs="Times New Roman"/>
          <w:sz w:val="24"/>
          <w:szCs w:val="24"/>
        </w:rPr>
        <w:t>ЮНЕСКО</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lastRenderedPageBreak/>
        <w:t>Журналистские убийства, осужденные Генеральным директором ЮНЕСКО</w:t>
      </w:r>
    </w:p>
    <w:p w:rsidR="005177DE"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Другие утвержденные отчеты и публикации</w:t>
      </w:r>
    </w:p>
    <w:p w:rsidR="005177DE" w:rsidRDefault="005177DE" w:rsidP="005177DE">
      <w:pPr>
        <w:pStyle w:val="ListParagraph"/>
        <w:numPr>
          <w:ilvl w:val="1"/>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МОТ</w:t>
      </w:r>
    </w:p>
    <w:p w:rsidR="005177DE" w:rsidRPr="002C0F20"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Случаи, рассмотренные Комитетом по свободе ассоциации</w:t>
      </w:r>
    </w:p>
    <w:p w:rsidR="005177DE" w:rsidRDefault="005177DE" w:rsidP="005177DE">
      <w:pPr>
        <w:pStyle w:val="ListParagraph"/>
        <w:numPr>
          <w:ilvl w:val="2"/>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Другие утвержденные отчеты и публикации</w:t>
      </w:r>
    </w:p>
    <w:p w:rsidR="005177DE" w:rsidRDefault="005177DE" w:rsidP="005177DE">
      <w:pPr>
        <w:pStyle w:val="ListParagraph"/>
        <w:numPr>
          <w:ilvl w:val="1"/>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Другие агентства или организации системы ООН, представляющие соответствующие отчеты</w:t>
      </w:r>
    </w:p>
    <w:p w:rsidR="005177DE" w:rsidRPr="002C0F20" w:rsidRDefault="005177DE" w:rsidP="005177DE">
      <w:pPr>
        <w:pStyle w:val="ListParagraph"/>
        <w:numPr>
          <w:ilvl w:val="0"/>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Региональные механизмы</w:t>
      </w:r>
    </w:p>
    <w:p w:rsidR="005177DE" w:rsidRDefault="005177DE" w:rsidP="005177DE">
      <w:pPr>
        <w:pStyle w:val="ListParagraph"/>
        <w:numPr>
          <w:ilvl w:val="0"/>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Национальные механизмы</w:t>
      </w:r>
    </w:p>
    <w:p w:rsidR="005177DE" w:rsidRPr="002C0F20" w:rsidRDefault="005177DE" w:rsidP="005177DE">
      <w:pPr>
        <w:pStyle w:val="ListParagraph"/>
        <w:numPr>
          <w:ilvl w:val="1"/>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Национальные институты по правам человека</w:t>
      </w:r>
    </w:p>
    <w:p w:rsidR="005177DE" w:rsidRPr="002C0F20" w:rsidRDefault="005177DE" w:rsidP="005177DE">
      <w:pPr>
        <w:pStyle w:val="ListParagraph"/>
        <w:numPr>
          <w:ilvl w:val="1"/>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Национальные механизмы мониторинга и защиты журнал</w:t>
      </w:r>
      <w:r>
        <w:rPr>
          <w:rFonts w:ascii="Times New Roman" w:hAnsi="Times New Roman" w:cs="Times New Roman"/>
          <w:sz w:val="24"/>
          <w:szCs w:val="24"/>
        </w:rPr>
        <w:t>истов, профсоюзных активистов и</w:t>
      </w:r>
      <w:r w:rsidRPr="002C0F20">
        <w:rPr>
          <w:rFonts w:ascii="Times New Roman" w:hAnsi="Times New Roman" w:cs="Times New Roman"/>
          <w:sz w:val="24"/>
          <w:szCs w:val="24"/>
        </w:rPr>
        <w:t>/или правозащитников</w:t>
      </w:r>
    </w:p>
    <w:p w:rsidR="005177DE" w:rsidRPr="002C0F20" w:rsidRDefault="005177DE" w:rsidP="005177DE">
      <w:pPr>
        <w:pStyle w:val="ListParagraph"/>
        <w:numPr>
          <w:ilvl w:val="1"/>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Учреждения системы правосудия, такие, как Министерства юстиции, внутренних дел и т. д</w:t>
      </w:r>
    </w:p>
    <w:p w:rsidR="005177DE" w:rsidRDefault="005177DE" w:rsidP="005177DE">
      <w:pPr>
        <w:pStyle w:val="ListParagraph"/>
        <w:numPr>
          <w:ilvl w:val="1"/>
          <w:numId w:val="5"/>
        </w:num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Национальные статистические службы в своей общей роли для координации на</w:t>
      </w:r>
      <w:r>
        <w:rPr>
          <w:rFonts w:ascii="Times New Roman" w:hAnsi="Times New Roman" w:cs="Times New Roman"/>
          <w:sz w:val="24"/>
          <w:szCs w:val="24"/>
        </w:rPr>
        <w:t>циональных статистических систем</w:t>
      </w:r>
    </w:p>
    <w:p w:rsidR="005177DE" w:rsidRDefault="005177DE" w:rsidP="005177DE">
      <w:pPr>
        <w:spacing w:line="240" w:lineRule="auto"/>
        <w:jc w:val="both"/>
        <w:rPr>
          <w:rFonts w:ascii="Times New Roman" w:hAnsi="Times New Roman" w:cs="Times New Roman"/>
          <w:sz w:val="24"/>
          <w:szCs w:val="24"/>
        </w:rPr>
      </w:pPr>
      <w:r w:rsidRPr="002C0F20">
        <w:rPr>
          <w:rFonts w:ascii="Times New Roman" w:hAnsi="Times New Roman" w:cs="Times New Roman"/>
          <w:sz w:val="24"/>
          <w:szCs w:val="24"/>
        </w:rPr>
        <w:t>Интеграция данных из всех возможных источников для этого показателя станет возможной благодаря использованию стандартных определений, методов сбора данных, эталонного периода, единиц счета и правил подсчета.</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Процесс сбора:</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Данные будут составляться из административных данных, подготовленных УВКПЧ, МОТ, ЮНЕСКО и другими учреждениями или подразделениями ООН в соответствии с их соответствующими мандатами и процедурами.</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Например, при поддержке УВКПЧ различные специальные процедуры Совета ООН по правам человека проводят поездки в страны и действуют по отдельным случаям, направляя сообщения государствам, а иногда и негосударственным субъектам, в которых они приносят предполагаемые нарушения или злоупотребления их внимание к действию, среди других функций. Специальные процедуры ежегодно отчитываются перед Советом по правам человека, и большинство мандатариев также отчитываются перед Генеральной Ассамблеей. Согласно разделу 40 Руководства по операциям специальных процедур решение о принятии решения по делу или ситуации основывается на усмотрении мандатария. Это усмотрение должно осуществляться в свете мандата, возложенного на него или ее, а также критериев, обычно относящихся к надежности источника; достоверность полученной информации; детали предоставлены; и объем мандата. Предпринимаются все возможные усилия для определения вероятной обоснованности предполагаемых инцидентов и надежности источника до того, как специальный докладчик свяжется с правительством государства, в котором предположительно произошло злоупотребление. Обычно контакт осуществляется посредством письма с призывом к незамедлительным действиям или «утверждения», адресованного дипломатическому представительству государства при Организации Объединенных Наций в Женеве для передачи в столицу. Эти сообщения используются для того, чтобы просить правительство принять все надлежащие меры для расследования и рассмотрения предполагаемых событий и сообщить о результатах своего расследования и действий Специальному докладчику. Сообщения, а также ответы государств сохраняются конфиденциальными до конца отчетного периода. Затем мандатарий сообщает об этих случаях Совету по правам человека или Генеральной Ассамблее.</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 xml:space="preserve">Что касается статистики ЮНЕСКО об убийствах журналистов, то данные ЮНЕСКО об убийствах журналистов соответствуют всем случаям убийств журналистов, которые были </w:t>
      </w:r>
      <w:r w:rsidRPr="006C5510">
        <w:rPr>
          <w:rFonts w:ascii="Times New Roman" w:hAnsi="Times New Roman" w:cs="Times New Roman"/>
          <w:sz w:val="24"/>
          <w:szCs w:val="24"/>
        </w:rPr>
        <w:lastRenderedPageBreak/>
        <w:t>осуждены Генеральным директором ЮНЕСКО. Эти случаи определяются на основе отчетов из нескольких источников, в том числе из международных, региональных и местных групп мониторинга; Бюро ЮНЕСКО на местах; Постоянные представительства ЮНЕСКО; и другими органами ООН. Это следует методологии, запрошенной Советом МПРК в соответствии с Решением IPDC 2012 года о безопасности журналистов и проблемой безнаказанности, в котором говорится, что отчет должен быть результатом «анализа и сопоставления информации из широкого и разнообразного ряда источников для ради обеспечения объективности, включая обновленную информацию, представленную соответствующими государствами-членами на добровольной основе об убийстве журналистов, а также ответы, не подлежащие ответу, и должны быть широко доступны ».</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Что касается статуса судебных расследований убийств журналистов, то данные ЮНЕСКО основаны исключительно на информации, представленной государствами-членами, в которых произошли кик журналисты, осужденные Генеральным директором ЮНЕСКО. Каждый год ЮНЕСКО направляет постоянным представительствам этих государств-членов письмо с просьбой предоставить им официальную информацию о судебных последующих мерах по делам об убийствах журналистов. Ответственность Постоянного представительства заключается в передаче письма компетентным органам на национальном уровне. На основе предоставленной информации ЮНЕСКО готовит доклад Генерального директора о безопасности журналистов или Всемирный тренд в области свободы выражения мнений и доклад о развитии средств массовой информации в зависимости от года.</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В значительной степени эти процедуры являются типичными для механизмов мониторинга в соответствии с международным правом. УВКПЧ, ЮНЕСКО, МОТ и другие учреждения, отвечающие за эти механизмы, уделяют особое внимание интеграции в эти стандартные оперативные процедуры требования о проведении консультаций с заинтересованными государствами-членами.</w:t>
      </w:r>
    </w:p>
    <w:p w:rsidR="005177DE" w:rsidRPr="006C5510"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Аналогичным образом МОТ может проверять зарегистрированные нарушения и злоупотребления, совершенные против профсоюзных активистов, используя данные своих заинтересованных сторон.</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В результате этих процессов международные организации создают административные данные о насилии в отношении журналистов, профсоюзных активистов и других правозащитников. УВКПЧ будет собирать и интегрировать данные с использованием общего инструмента управления данными.</w:t>
      </w:r>
    </w:p>
    <w:p w:rsidR="005177DE" w:rsidRPr="006C5510"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В будущем национальные сборщики прав, национальные статистические управления, другие правительственные учреждения, а также организации и сети гражданского общества будут играть важную роль в сборе данных. НПЗУ, исходя из своего собственного мандата, могут расследовать случаи нарушений и злоупотреблений, доведенных до их сведения. Несколько НПЗУ также узаконили предоставление юридических консультаций и других форм поддержки жертвам злоупотреблений, желающих получить доступ к международным механизмам. С другой стороны, НСУ могут дополнять эту работу, обеспечивая внедрение международно признанных статистических стандартов, в том числе по обмену данными и распространению по этому показателю.</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УВКПЧ, ЮНЕСКО и МОТ будут совместно работать с национальными заинтересованными сторонами для создания потенциала, согласования процедур сбора данных и получения сопоставимых по всему миру результатов.</w:t>
      </w:r>
    </w:p>
    <w:p w:rsidR="005177DE" w:rsidRPr="006C5510" w:rsidRDefault="005177DE" w:rsidP="005177DE">
      <w:pPr>
        <w:spacing w:line="240" w:lineRule="auto"/>
        <w:jc w:val="both"/>
        <w:rPr>
          <w:rFonts w:ascii="Times New Roman" w:hAnsi="Times New Roman" w:cs="Times New Roman"/>
          <w:b/>
          <w:sz w:val="24"/>
          <w:szCs w:val="24"/>
        </w:rPr>
      </w:pPr>
      <w:r w:rsidRPr="006C5510">
        <w:rPr>
          <w:rFonts w:ascii="Times New Roman" w:hAnsi="Times New Roman" w:cs="Times New Roman"/>
          <w:b/>
          <w:sz w:val="24"/>
          <w:szCs w:val="24"/>
        </w:rPr>
        <w:t>Доступность данных</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lastRenderedPageBreak/>
        <w:t>Описание:</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Глобальные и региональные агрегаты по компоненту, касающемуся убийства журналистов, уже сообщаются на ежегодной основе и включаются в отчеты о ходе работы СГД ООН. Данные об убийствах журналистов потенциально охватывают все 195 государств-членов ЮНЕСКО. Данные о статусе судебных расследований, совершенных в результате убийств, были предоставлены 32 из 62 заинтересованных стран в 2016 году.</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Данные о нарушениях правозащитников были опубликованы в глобальном масштабе в докладах и сообщениях международных правозащитных механизмов на протяжении многих лет. Данные об убийствах журналистов доступны на постоянной основе. Данные о статусе судебных расследований убийств журналистов доступны на ежегодной основе.</w:t>
      </w:r>
    </w:p>
    <w:p w:rsidR="005177DE"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Однако все эти данные не были сопоставлены для целей отчетности по глобальным показателям ГРП. К 2018 году производство глобальных и региональных агрегатов по убийствам для показателя 16.10.1 будет приоритетным, а 2015 год - базовым.</w:t>
      </w:r>
    </w:p>
    <w:p w:rsidR="005177DE" w:rsidRPr="006C5510"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Временные ряды:</w:t>
      </w:r>
    </w:p>
    <w:p w:rsidR="005177DE" w:rsidRPr="006C5510"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2014-2017 гг. - Уничтожение журналистов в ЮНЕСКО</w:t>
      </w:r>
    </w:p>
    <w:p w:rsidR="005177DE" w:rsidRPr="002C0F20" w:rsidRDefault="005177DE" w:rsidP="005177DE">
      <w:pPr>
        <w:spacing w:line="240" w:lineRule="auto"/>
        <w:jc w:val="both"/>
        <w:rPr>
          <w:rFonts w:ascii="Times New Roman" w:hAnsi="Times New Roman" w:cs="Times New Roman"/>
          <w:sz w:val="24"/>
          <w:szCs w:val="24"/>
        </w:rPr>
      </w:pPr>
      <w:r w:rsidRPr="006C5510">
        <w:rPr>
          <w:rFonts w:ascii="Times New Roman" w:hAnsi="Times New Roman" w:cs="Times New Roman"/>
          <w:sz w:val="24"/>
          <w:szCs w:val="24"/>
        </w:rPr>
        <w:t xml:space="preserve">2015-2017 гг. - </w:t>
      </w:r>
      <w:r>
        <w:rPr>
          <w:rFonts w:ascii="Times New Roman" w:hAnsi="Times New Roman" w:cs="Times New Roman"/>
          <w:sz w:val="24"/>
          <w:szCs w:val="24"/>
        </w:rPr>
        <w:t>Показатель</w:t>
      </w:r>
      <w:r w:rsidRPr="006C5510">
        <w:rPr>
          <w:rFonts w:ascii="Times New Roman" w:hAnsi="Times New Roman" w:cs="Times New Roman"/>
          <w:sz w:val="24"/>
          <w:szCs w:val="24"/>
        </w:rPr>
        <w:t xml:space="preserve"> </w:t>
      </w:r>
      <w:r>
        <w:rPr>
          <w:rFonts w:ascii="Times New Roman" w:hAnsi="Times New Roman" w:cs="Times New Roman"/>
          <w:sz w:val="24"/>
          <w:szCs w:val="24"/>
        </w:rPr>
        <w:t>ЦУР</w:t>
      </w:r>
      <w:r w:rsidRPr="006C5510">
        <w:rPr>
          <w:rFonts w:ascii="Times New Roman" w:hAnsi="Times New Roman" w:cs="Times New Roman"/>
          <w:sz w:val="24"/>
          <w:szCs w:val="24"/>
        </w:rPr>
        <w:t xml:space="preserve"> 16.10.1 об убийствах</w:t>
      </w:r>
    </w:p>
    <w:p w:rsidR="005177DE" w:rsidRPr="00F121E2" w:rsidRDefault="005177DE" w:rsidP="005177DE">
      <w:pPr>
        <w:spacing w:line="240" w:lineRule="auto"/>
        <w:jc w:val="both"/>
        <w:rPr>
          <w:rFonts w:ascii="Times New Roman" w:hAnsi="Times New Roman" w:cs="Times New Roman"/>
          <w:b/>
          <w:sz w:val="24"/>
          <w:szCs w:val="24"/>
        </w:rPr>
      </w:pPr>
      <w:r w:rsidRPr="00F121E2">
        <w:rPr>
          <w:rFonts w:ascii="Times New Roman" w:hAnsi="Times New Roman" w:cs="Times New Roman"/>
          <w:b/>
          <w:sz w:val="24"/>
          <w:szCs w:val="24"/>
        </w:rPr>
        <w:t>Календарь</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Сбор данных:</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I-III квартал 2017 года, данные за 2015 год</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III-IV квартал 2017 года, данные за 2016 год</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Выпуск данных:</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II квартал 2016 и 2017 гг., На 2015 и 2016 гг. (Данные ЮНЕСКО)</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II квартал 2018 года, на 2015, 2016, 2017 годы (данные ЮНЕСКО, УВКПЧ, МОТ)</w:t>
      </w:r>
    </w:p>
    <w:p w:rsidR="005177DE" w:rsidRPr="00F121E2" w:rsidRDefault="005177DE" w:rsidP="005177DE">
      <w:pPr>
        <w:spacing w:line="240" w:lineRule="auto"/>
        <w:jc w:val="both"/>
        <w:rPr>
          <w:rFonts w:ascii="Times New Roman" w:hAnsi="Times New Roman" w:cs="Times New Roman"/>
          <w:b/>
          <w:sz w:val="24"/>
          <w:szCs w:val="24"/>
        </w:rPr>
      </w:pPr>
      <w:r w:rsidRPr="00F121E2">
        <w:rPr>
          <w:rFonts w:ascii="Times New Roman" w:hAnsi="Times New Roman" w:cs="Times New Roman"/>
          <w:b/>
          <w:sz w:val="24"/>
          <w:szCs w:val="24"/>
        </w:rPr>
        <w:t>Поставщики данных</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Название:</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Международные поставщики данных: УВКПЧ, ЮНЕСКО и МОТ</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Национальные поставщики данных: национальные правозащитные учреждения, соответствующие Парижским принципам и другим соответствующим учреждениям на национальном уровне.</w:t>
      </w:r>
    </w:p>
    <w:p w:rsidR="005177DE" w:rsidRDefault="005177DE" w:rsidP="005177DE">
      <w:pPr>
        <w:spacing w:line="240" w:lineRule="auto"/>
        <w:jc w:val="both"/>
        <w:rPr>
          <w:rFonts w:ascii="Times New Roman" w:hAnsi="Times New Roman" w:cs="Times New Roman"/>
          <w:sz w:val="24"/>
          <w:szCs w:val="24"/>
        </w:rPr>
      </w:pPr>
      <w:r>
        <w:rPr>
          <w:rFonts w:ascii="Times New Roman" w:hAnsi="Times New Roman" w:cs="Times New Roman"/>
          <w:sz w:val="24"/>
          <w:szCs w:val="24"/>
        </w:rPr>
        <w:t>Описание:</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Глобальные данные о насилии в отношении журналистов, профсоюзных активистов и других правозащитников собираются УВКПЧ, ЮНЕСКО и МОТ, используя общий шаблон и интегрированный в единый набор данных, устраняющий риски двойного счета. Дополнительные национальные данные будут предоставлены УВКПЧ, ЮНЕСКО и МОТ, в соответствующих случаях, государствами-членами через свои национальные правозащитные учреждения в сотрудничестве с НС</w:t>
      </w:r>
      <w:r>
        <w:rPr>
          <w:rFonts w:ascii="Times New Roman" w:hAnsi="Times New Roman" w:cs="Times New Roman"/>
          <w:sz w:val="24"/>
          <w:szCs w:val="24"/>
        </w:rPr>
        <w:t>О</w:t>
      </w:r>
      <w:r w:rsidRPr="00F121E2">
        <w:rPr>
          <w:rFonts w:ascii="Times New Roman" w:hAnsi="Times New Roman" w:cs="Times New Roman"/>
          <w:sz w:val="24"/>
          <w:szCs w:val="24"/>
        </w:rPr>
        <w:t>. На страновом уровне основными источниками будут, как правило, NHRI, работающие с организациями и сетями гражданского общества.</w:t>
      </w:r>
    </w:p>
    <w:p w:rsidR="005177DE" w:rsidRDefault="005177DE" w:rsidP="005177DE">
      <w:pPr>
        <w:spacing w:line="240" w:lineRule="auto"/>
        <w:jc w:val="both"/>
        <w:rPr>
          <w:rFonts w:ascii="Times New Roman" w:hAnsi="Times New Roman" w:cs="Times New Roman"/>
          <w:b/>
          <w:sz w:val="24"/>
          <w:szCs w:val="24"/>
        </w:rPr>
      </w:pPr>
      <w:r w:rsidRPr="00F121E2">
        <w:rPr>
          <w:rFonts w:ascii="Times New Roman" w:hAnsi="Times New Roman" w:cs="Times New Roman"/>
          <w:b/>
          <w:sz w:val="24"/>
          <w:szCs w:val="24"/>
        </w:rPr>
        <w:t>Составители данных</w:t>
      </w:r>
    </w:p>
    <w:p w:rsidR="005177DE" w:rsidRDefault="005177DE" w:rsidP="005177DE">
      <w:pPr>
        <w:spacing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lastRenderedPageBreak/>
        <w:t>Тройка, состоящая из УВКПЧ, ЮНЕСКО, МОТ</w:t>
      </w:r>
    </w:p>
    <w:p w:rsidR="005177DE" w:rsidRDefault="005177DE" w:rsidP="005177DE">
      <w:pPr>
        <w:spacing w:line="240" w:lineRule="auto"/>
        <w:jc w:val="both"/>
        <w:rPr>
          <w:rFonts w:ascii="Times New Roman" w:hAnsi="Times New Roman" w:cs="Times New Roman"/>
          <w:sz w:val="24"/>
          <w:szCs w:val="24"/>
        </w:rPr>
      </w:pPr>
      <w:r>
        <w:rPr>
          <w:rFonts w:ascii="Times New Roman" w:hAnsi="Times New Roman" w:cs="Times New Roman"/>
          <w:sz w:val="24"/>
          <w:szCs w:val="24"/>
        </w:rPr>
        <w:t>Описание:</w:t>
      </w:r>
    </w:p>
    <w:p w:rsidR="005177DE"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 xml:space="preserve">На международном уровне данные о насилии в отношении журналистов, профсоюзных активистов и других правозащитников будут регулярно составляться и распространяться тройкой (УВКПЧ, ЮНЕСКО и МОТ) через Ежегодный доклад Генерального секретаря Генерального секретаря и предлагаемый ежегодный глобальный доклад о насилии в отношении человека Правозащитники. Тройка будет стремиться работать с другими партнерами, чтобы расширить распространение </w:t>
      </w:r>
      <w:r>
        <w:rPr>
          <w:rFonts w:ascii="Times New Roman" w:hAnsi="Times New Roman" w:cs="Times New Roman"/>
          <w:sz w:val="24"/>
          <w:szCs w:val="24"/>
        </w:rPr>
        <w:t>показателя.</w:t>
      </w:r>
    </w:p>
    <w:p w:rsidR="005177DE" w:rsidRDefault="005177DE" w:rsidP="005177DE">
      <w:pPr>
        <w:spacing w:afterLines="200" w:after="480"/>
        <w:jc w:val="both"/>
        <w:rPr>
          <w:rFonts w:ascii="Times New Roman" w:hAnsi="Times New Roman" w:cs="Times New Roman"/>
          <w:b/>
          <w:sz w:val="24"/>
          <w:szCs w:val="24"/>
        </w:rPr>
      </w:pPr>
      <w:r w:rsidRPr="00C5522F">
        <w:rPr>
          <w:rFonts w:ascii="Times New Roman" w:hAnsi="Times New Roman" w:cs="Times New Roman"/>
          <w:b/>
          <w:sz w:val="24"/>
          <w:szCs w:val="24"/>
        </w:rPr>
        <w:t>Ссылки</w:t>
      </w:r>
    </w:p>
    <w:p w:rsidR="005177DE" w:rsidRDefault="005177DE" w:rsidP="005177DE">
      <w:pPr>
        <w:spacing w:afterLines="200" w:after="480"/>
        <w:jc w:val="both"/>
        <w:rPr>
          <w:rFonts w:ascii="Times New Roman" w:hAnsi="Times New Roman" w:cs="Times New Roman"/>
          <w:sz w:val="24"/>
          <w:szCs w:val="24"/>
        </w:rPr>
      </w:pPr>
      <w:r w:rsidRPr="00C5522F">
        <w:rPr>
          <w:rFonts w:ascii="Times New Roman" w:hAnsi="Times New Roman" w:cs="Times New Roman"/>
          <w:sz w:val="24"/>
          <w:szCs w:val="24"/>
        </w:rPr>
        <w:t>URL:</w:t>
      </w:r>
      <w:r>
        <w:rPr>
          <w:rFonts w:ascii="Times New Roman" w:hAnsi="Times New Roman" w:cs="Times New Roman"/>
          <w:sz w:val="24"/>
          <w:szCs w:val="24"/>
        </w:rPr>
        <w:t xml:space="preserve"> </w:t>
      </w:r>
      <w:hyperlink r:id="rId8" w:history="1">
        <w:r w:rsidRPr="00DE5A16">
          <w:rPr>
            <w:rStyle w:val="Hyperlink"/>
            <w:rFonts w:ascii="Times New Roman" w:hAnsi="Times New Roman" w:cs="Times New Roman"/>
            <w:sz w:val="24"/>
            <w:szCs w:val="24"/>
          </w:rPr>
          <w:t>http://www.ohchr.org/EN/Issues/Indicators/Pages/HRIndicatorsIndex.aspx</w:t>
        </w:r>
      </w:hyperlink>
    </w:p>
    <w:p w:rsidR="005177DE" w:rsidRPr="00F121E2" w:rsidRDefault="005177DE" w:rsidP="005177DE">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rPr>
        <w:t>Ссылки</w:t>
      </w:r>
      <w:r w:rsidRPr="00F121E2">
        <w:rPr>
          <w:rFonts w:ascii="Times New Roman" w:hAnsi="Times New Roman" w:cs="Times New Roman"/>
          <w:sz w:val="24"/>
          <w:szCs w:val="24"/>
          <w:lang w:val="en-US"/>
        </w:rPr>
        <w:t>:</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Declaration on the Right and Responsibility of Individuals, Groups and Organs of Society to Promote and Protect Universally Recognized Human Rights and Fundamental Freedoms (frequently abbreviated “The Declaration on human rights defenders”): http://www.ohchr.org/EN/Issues/SRHRDefenders/Pages/Declaration.aspx</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UNITED NATIONS (2004). Human Rights Defenders: Protecting the Right to Defend Human Rights. Geneva. Available from http://www.ohchr.org/EN/Issues/SRHRDefenders/Pages/SRHRDefendersIndex.aspx.</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UNITED NATIONS (2012). Human Rights Indicators: A Guide to Measurement and Implementation. New York and Geneva. Available from http://www.ohchr.org/EN/Issues/Indicators/Pages/HRIndicatorsIndex.aspx.</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United Nations (20142016). The Safety of Journalists and the Danger of Impunity: Report by the Director General to the Intergovernmental Council of the IPDC (Twenty-NinthThirtieth Session). Paris. Available</w:t>
      </w:r>
      <w:r>
        <w:rPr>
          <w:rFonts w:ascii="Times New Roman" w:hAnsi="Times New Roman" w:cs="Times New Roman"/>
          <w:sz w:val="24"/>
          <w:szCs w:val="24"/>
        </w:rPr>
        <w:t xml:space="preserve"> </w:t>
      </w:r>
      <w:r w:rsidRPr="00F121E2">
        <w:rPr>
          <w:rFonts w:ascii="Times New Roman" w:hAnsi="Times New Roman" w:cs="Times New Roman"/>
          <w:sz w:val="24"/>
          <w:szCs w:val="24"/>
        </w:rPr>
        <w:t>from http://en.unesco.org/dg-report/2016-report</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http://unesdoc.unesco.org/images/0023/002301/230101E.pdf</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UNITED NATIONS (2015) World Trends in Freedom of Expression and Media Development. Paris. Available from: http://www.unesco.org/new/en/world-media-trends</w:t>
      </w:r>
    </w:p>
    <w:p w:rsidR="005177DE" w:rsidRPr="00F121E2" w:rsidRDefault="005177DE" w:rsidP="005177DE">
      <w:pPr>
        <w:spacing w:line="240" w:lineRule="auto"/>
        <w:jc w:val="both"/>
        <w:rPr>
          <w:rFonts w:ascii="Times New Roman" w:hAnsi="Times New Roman" w:cs="Times New Roman"/>
          <w:sz w:val="24"/>
          <w:szCs w:val="24"/>
        </w:rPr>
      </w:pPr>
      <w:r w:rsidRPr="00F121E2">
        <w:rPr>
          <w:rFonts w:ascii="Times New Roman" w:hAnsi="Times New Roman" w:cs="Times New Roman"/>
          <w:sz w:val="24"/>
          <w:szCs w:val="24"/>
        </w:rPr>
        <w:t>UNITED NATIONS (2015) International Classification of Crime for Statistical Purposes (ICCS), Version 1.0. Vienna. Available from: https://www.unodc.org/unodc/en/data-and-analysis/statistics/iccs.html</w:t>
      </w:r>
    </w:p>
    <w:p w:rsidR="005177DE" w:rsidRPr="00F121E2" w:rsidRDefault="005177DE" w:rsidP="005177DE">
      <w:pPr>
        <w:spacing w:afterLines="200" w:after="480"/>
        <w:jc w:val="both"/>
        <w:rPr>
          <w:rFonts w:ascii="Times New Roman" w:hAnsi="Times New Roman" w:cs="Times New Roman"/>
          <w:sz w:val="24"/>
          <w:szCs w:val="24"/>
          <w:lang w:val="en-US"/>
        </w:rPr>
      </w:pPr>
      <w:r w:rsidRPr="00F121E2">
        <w:rPr>
          <w:rFonts w:ascii="Times New Roman" w:hAnsi="Times New Roman" w:cs="Times New Roman"/>
          <w:sz w:val="24"/>
          <w:szCs w:val="24"/>
          <w:lang w:val="en-US"/>
        </w:rPr>
        <w:t xml:space="preserve">United Nations (2012). Manual on Human Rights Monitoring. Available from: </w:t>
      </w:r>
      <w:hyperlink r:id="rId9" w:history="1">
        <w:r w:rsidRPr="00DE5A16">
          <w:rPr>
            <w:rStyle w:val="Hyperlink"/>
            <w:rFonts w:ascii="Times New Roman" w:hAnsi="Times New Roman" w:cs="Times New Roman"/>
            <w:sz w:val="24"/>
            <w:szCs w:val="24"/>
            <w:lang w:val="en-US"/>
          </w:rPr>
          <w:t>http://www.ohchr.org/EN/PublicationsResources/Pages/MethodologicalMaterials.aspx</w:t>
        </w:r>
      </w:hyperlink>
    </w:p>
    <w:p w:rsidR="005177DE" w:rsidRPr="005113AD" w:rsidRDefault="005177DE" w:rsidP="005177DE">
      <w:pPr>
        <w:spacing w:afterLines="200" w:after="480"/>
        <w:jc w:val="both"/>
        <w:rPr>
          <w:rFonts w:ascii="Times New Roman" w:hAnsi="Times New Roman" w:cs="Times New Roman"/>
          <w:b/>
          <w:sz w:val="24"/>
          <w:szCs w:val="24"/>
        </w:rPr>
      </w:pPr>
      <w:r w:rsidRPr="005113AD">
        <w:rPr>
          <w:rFonts w:ascii="Times New Roman" w:hAnsi="Times New Roman" w:cs="Times New Roman"/>
          <w:b/>
          <w:sz w:val="24"/>
          <w:szCs w:val="24"/>
        </w:rPr>
        <w:t>Связанные показатели:</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16.1.1 Число жертв умышленных убийств на 100 000 человек в разбивке по возрастной группе и полу</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16.1.2 Число связанных с конфликтами смертей на 100 000 человек (в разбивке по возрастной группе, полу и причине)</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lastRenderedPageBreak/>
        <w:t>16.1.3 Доля населения, в последние 12 месяцев подвергшегося физическому, психологическому или сексуальному насилию</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16.1.4 Доля людей, чувствующих себя в безопасности, когда они идут одни по улице в своем районе</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16.10.2 Число стран, в которых приняты и действуют конституционные, законодательные и/или политические гарантии публичного доступа граждан к информации</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16.3.1 Доля жертв насилия, которые в последние 12 месяцев подали соответствующую жалобу в компетентные органы или другие официально признанные механизмы урегулирования конфликтов</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16.3.2 Доля задерживаемых до вынесения приговора в процентном отношении к общей численности лиц, содержащихся под стражей</w:t>
      </w:r>
    </w:p>
    <w:p w:rsidR="005177DE" w:rsidRPr="005113AD" w:rsidRDefault="005177DE" w:rsidP="005177DE">
      <w:pPr>
        <w:pStyle w:val="ListParagraph"/>
        <w:numPr>
          <w:ilvl w:val="0"/>
          <w:numId w:val="6"/>
        </w:numPr>
        <w:spacing w:afterLines="200" w:after="480"/>
        <w:jc w:val="both"/>
        <w:rPr>
          <w:rFonts w:ascii="Times New Roman" w:hAnsi="Times New Roman" w:cs="Times New Roman"/>
          <w:sz w:val="24"/>
          <w:szCs w:val="24"/>
        </w:rPr>
      </w:pPr>
      <w:r w:rsidRPr="005113AD">
        <w:rPr>
          <w:rFonts w:ascii="Times New Roman" w:hAnsi="Times New Roman" w:cs="Times New Roman"/>
          <w:sz w:val="24"/>
          <w:szCs w:val="24"/>
        </w:rPr>
        <w:t>16.a.1 Наличие независимых национальных правозащитных институтов, действующих в соответствии с Парижскими принципами</w:t>
      </w:r>
    </w:p>
    <w:p w:rsidR="005177DE" w:rsidRPr="005113AD" w:rsidRDefault="005177DE" w:rsidP="005177DE">
      <w:pPr>
        <w:spacing w:line="240" w:lineRule="auto"/>
        <w:jc w:val="both"/>
        <w:rPr>
          <w:rFonts w:ascii="Times New Roman" w:hAnsi="Times New Roman" w:cs="Times New Roman"/>
          <w:sz w:val="24"/>
          <w:szCs w:val="24"/>
        </w:rPr>
      </w:pPr>
    </w:p>
    <w:p w:rsidR="005177DE" w:rsidRPr="005113AD" w:rsidRDefault="005177DE" w:rsidP="005177DE">
      <w:pPr>
        <w:spacing w:line="240" w:lineRule="auto"/>
        <w:jc w:val="both"/>
        <w:rPr>
          <w:rFonts w:ascii="Times New Roman" w:hAnsi="Times New Roman" w:cs="Times New Roman"/>
          <w:sz w:val="24"/>
          <w:szCs w:val="24"/>
        </w:rPr>
      </w:pPr>
    </w:p>
    <w:p w:rsidR="00F121E2" w:rsidRPr="005177DE" w:rsidRDefault="00F121E2" w:rsidP="005177DE">
      <w:bookmarkStart w:id="0" w:name="_GoBack"/>
      <w:bookmarkEnd w:id="0"/>
    </w:p>
    <w:sectPr w:rsidR="00F121E2" w:rsidRPr="005177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05" w:rsidRDefault="00065205" w:rsidP="00926D82">
      <w:pPr>
        <w:spacing w:after="0" w:line="240" w:lineRule="auto"/>
      </w:pPr>
      <w:r>
        <w:separator/>
      </w:r>
    </w:p>
  </w:endnote>
  <w:endnote w:type="continuationSeparator" w:id="0">
    <w:p w:rsidR="00065205" w:rsidRDefault="00065205" w:rsidP="0092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05" w:rsidRDefault="00065205" w:rsidP="00926D82">
      <w:pPr>
        <w:spacing w:after="0" w:line="240" w:lineRule="auto"/>
      </w:pPr>
      <w:r>
        <w:separator/>
      </w:r>
    </w:p>
  </w:footnote>
  <w:footnote w:type="continuationSeparator" w:id="0">
    <w:p w:rsidR="00065205" w:rsidRDefault="00065205" w:rsidP="00926D82">
      <w:pPr>
        <w:spacing w:after="0" w:line="240" w:lineRule="auto"/>
      </w:pPr>
      <w:r>
        <w:continuationSeparator/>
      </w:r>
    </w:p>
  </w:footnote>
  <w:footnote w:id="1">
    <w:p w:rsidR="005177DE" w:rsidRPr="00926D82" w:rsidRDefault="005177DE" w:rsidP="005177DE">
      <w:pPr>
        <w:pStyle w:val="FootnoteText"/>
        <w:jc w:val="both"/>
        <w:rPr>
          <w:rFonts w:ascii="Times New Roman" w:hAnsi="Times New Roman" w:cs="Times New Roman"/>
        </w:rPr>
      </w:pPr>
      <w:r w:rsidRPr="00926D82">
        <w:rPr>
          <w:rStyle w:val="FootnoteReference"/>
          <w:rFonts w:ascii="Times New Roman" w:hAnsi="Times New Roman" w:cs="Times New Roman"/>
        </w:rPr>
        <w:footnoteRef/>
      </w:r>
      <w:r w:rsidRPr="00926D82">
        <w:rPr>
          <w:rFonts w:ascii="Times New Roman" w:hAnsi="Times New Roman" w:cs="Times New Roman"/>
        </w:rPr>
        <w:t xml:space="preserve"> Текущая утвержденная формулировка показателя (</w:t>
      </w:r>
      <w:r w:rsidRPr="00926D82">
        <w:rPr>
          <w:rFonts w:ascii="Times New Roman" w:hAnsi="Times New Roman" w:cs="Times New Roman"/>
          <w:lang w:val="en-US"/>
        </w:rPr>
        <w:t>E</w:t>
      </w:r>
      <w:r w:rsidRPr="00926D82">
        <w:rPr>
          <w:rFonts w:ascii="Times New Roman" w:hAnsi="Times New Roman" w:cs="Times New Roman"/>
        </w:rPr>
        <w:t>/2017/24-</w:t>
      </w:r>
      <w:r w:rsidRPr="00926D82">
        <w:rPr>
          <w:rFonts w:ascii="Times New Roman" w:hAnsi="Times New Roman" w:cs="Times New Roman"/>
          <w:lang w:val="en-US"/>
        </w:rPr>
        <w:t>E</w:t>
      </w:r>
      <w:r w:rsidRPr="00926D82">
        <w:rPr>
          <w:rFonts w:ascii="Times New Roman" w:hAnsi="Times New Roman" w:cs="Times New Roman"/>
        </w:rPr>
        <w:t>/</w:t>
      </w:r>
      <w:r w:rsidRPr="00926D82">
        <w:rPr>
          <w:rFonts w:ascii="Times New Roman" w:hAnsi="Times New Roman" w:cs="Times New Roman"/>
          <w:lang w:val="en-US"/>
        </w:rPr>
        <w:t>CN</w:t>
      </w:r>
      <w:r w:rsidRPr="00926D82">
        <w:rPr>
          <w:rFonts w:ascii="Times New Roman" w:hAnsi="Times New Roman" w:cs="Times New Roman"/>
        </w:rPr>
        <w:t>.3/2017/35). Подчеркнутые предпринимаемыми усилиями по совершенствованию методологии этого показателя, а также консультации с соответствующими респондентами, УВКПЧ, ЮНЕСКО и МОТ согласились работать над уточнением существующей формулировки для упорядочения и обеспечения ее соответствия с целью 16.10. Рабочий проект предлагаемого уточнения выглядит следующим образом:</w:t>
      </w:r>
    </w:p>
    <w:p w:rsidR="005177DE" w:rsidRPr="001C4332" w:rsidRDefault="005177DE" w:rsidP="005177DE">
      <w:pPr>
        <w:pStyle w:val="FootnoteText"/>
        <w:jc w:val="both"/>
        <w:rPr>
          <w:rFonts w:ascii="Times New Roman" w:hAnsi="Times New Roman" w:cs="Times New Roman"/>
        </w:rPr>
      </w:pPr>
      <w:r w:rsidRPr="00926D82">
        <w:rPr>
          <w:rFonts w:ascii="Times New Roman" w:hAnsi="Times New Roman" w:cs="Times New Roman"/>
          <w:i/>
        </w:rPr>
        <w:t>«</w:t>
      </w:r>
      <w:r w:rsidRPr="001C4332">
        <w:rPr>
          <w:rFonts w:ascii="Times New Roman" w:hAnsi="Times New Roman" w:cs="Times New Roman"/>
          <w:i/>
        </w:rPr>
        <w:t>Число проверенных случаев убийства, насильственного исчезновения, пыток, произвольных задержаний, похищений людей и других вредных действий в отношении журналистов, профсоюзных активистов и правозащитников»</w:t>
      </w:r>
    </w:p>
    <w:p w:rsidR="005177DE" w:rsidRPr="001C4332" w:rsidRDefault="005177DE" w:rsidP="005177DE">
      <w:pPr>
        <w:pStyle w:val="FootnoteText"/>
        <w:jc w:val="both"/>
        <w:rPr>
          <w:rFonts w:ascii="Times New Roman" w:hAnsi="Times New Roman" w:cs="Times New Roman"/>
        </w:rPr>
      </w:pPr>
      <w:r w:rsidRPr="00926D82">
        <w:rPr>
          <w:rFonts w:ascii="Times New Roman" w:hAnsi="Times New Roman" w:cs="Times New Roman"/>
        </w:rPr>
        <w:t>Элементы предлагаемого уточнения служат основой для этих метаданных и методологического подхода.</w:t>
      </w:r>
    </w:p>
  </w:footnote>
  <w:footnote w:id="2">
    <w:p w:rsidR="005177DE" w:rsidRPr="001C4332" w:rsidRDefault="005177DE" w:rsidP="005177DE">
      <w:pPr>
        <w:pStyle w:val="FootnoteText"/>
        <w:jc w:val="both"/>
        <w:rPr>
          <w:rFonts w:ascii="Times New Roman" w:hAnsi="Times New Roman" w:cs="Times New Roman"/>
        </w:rPr>
      </w:pPr>
      <w:r w:rsidRPr="001C4332">
        <w:rPr>
          <w:rStyle w:val="FootnoteReference"/>
        </w:rPr>
        <w:footnoteRef/>
      </w:r>
      <w:r w:rsidRPr="001C4332">
        <w:rPr>
          <w:rFonts w:ascii="Times New Roman" w:hAnsi="Times New Roman" w:cs="Times New Roman"/>
        </w:rPr>
        <w:t xml:space="preserve"> 2 A/HRC/20/17, </w:t>
      </w:r>
      <w:r>
        <w:rPr>
          <w:rFonts w:ascii="Times New Roman" w:hAnsi="Times New Roman" w:cs="Times New Roman"/>
        </w:rPr>
        <w:t>пункт</w:t>
      </w:r>
      <w:r w:rsidRPr="001C4332">
        <w:rPr>
          <w:rFonts w:ascii="Times New Roman" w:hAnsi="Times New Roman" w:cs="Times New Roman"/>
        </w:rPr>
        <w:t xml:space="preserve"> 4</w:t>
      </w:r>
    </w:p>
  </w:footnote>
  <w:footnote w:id="3">
    <w:p w:rsidR="005177DE" w:rsidRPr="001C4332" w:rsidRDefault="005177DE" w:rsidP="005177DE">
      <w:pPr>
        <w:pStyle w:val="FootnoteText"/>
        <w:jc w:val="both"/>
      </w:pPr>
      <w:r w:rsidRPr="001C4332">
        <w:rPr>
          <w:rStyle w:val="FootnoteReference"/>
        </w:rPr>
        <w:footnoteRef/>
      </w:r>
      <w:r>
        <w:t xml:space="preserve"> </w:t>
      </w:r>
      <w:r w:rsidRPr="001C4332">
        <w:rPr>
          <w:rFonts w:ascii="Times New Roman" w:hAnsi="Times New Roman" w:cs="Times New Roman"/>
        </w:rPr>
        <w:t>Комитет по правам человека, Общий комментарий 34, пункт 44</w:t>
      </w:r>
    </w:p>
  </w:footnote>
  <w:footnote w:id="4">
    <w:p w:rsidR="005177DE" w:rsidRPr="001C4332" w:rsidRDefault="005177DE" w:rsidP="005177DE">
      <w:pPr>
        <w:pStyle w:val="FootnoteText"/>
        <w:jc w:val="both"/>
      </w:pPr>
      <w:r>
        <w:rPr>
          <w:rStyle w:val="FootnoteReference"/>
        </w:rPr>
        <w:footnoteRef/>
      </w:r>
      <w:r>
        <w:t xml:space="preserve"> </w:t>
      </w:r>
      <w:r w:rsidRPr="001C4332">
        <w:rPr>
          <w:rFonts w:ascii="Times New Roman" w:hAnsi="Times New Roman" w:cs="Times New Roman"/>
        </w:rPr>
        <w:t>ВДПЧ, ст. 23, 4, дополненная МПЭСКП, статья 8</w:t>
      </w:r>
    </w:p>
  </w:footnote>
  <w:footnote w:id="5">
    <w:p w:rsidR="005177DE" w:rsidRPr="001C4332" w:rsidRDefault="005177DE" w:rsidP="005177DE">
      <w:pPr>
        <w:pStyle w:val="FootnoteText"/>
        <w:jc w:val="both"/>
      </w:pPr>
      <w:r>
        <w:rPr>
          <w:rStyle w:val="FootnoteReference"/>
        </w:rPr>
        <w:footnoteRef/>
      </w:r>
      <w:r>
        <w:t xml:space="preserve"> </w:t>
      </w:r>
      <w:r w:rsidRPr="001C4332">
        <w:rPr>
          <w:rFonts w:ascii="Times New Roman" w:hAnsi="Times New Roman" w:cs="Times New Roman"/>
        </w:rPr>
        <w:t>МОТ, Глоссарий по трудовому праву и промышленным реляциям (с особым аспектом европейского союза) (Женева, 2005 г.) с 250</w:t>
      </w:r>
    </w:p>
  </w:footnote>
  <w:footnote w:id="6">
    <w:p w:rsidR="005177DE" w:rsidRDefault="005177DE" w:rsidP="005177DE">
      <w:pPr>
        <w:pStyle w:val="FootnoteText"/>
        <w:jc w:val="both"/>
      </w:pPr>
      <w:r>
        <w:rPr>
          <w:rStyle w:val="FootnoteReference"/>
        </w:rPr>
        <w:footnoteRef/>
      </w:r>
      <w:r>
        <w:t xml:space="preserve"> </w:t>
      </w:r>
      <w:r w:rsidRPr="001C4332">
        <w:rPr>
          <w:rFonts w:ascii="Times New Roman" w:hAnsi="Times New Roman" w:cs="Times New Roman"/>
        </w:rPr>
        <w:t>Статья 1, Декларация о безопасности и ответственности отдельных лиц, групп и организаций общества по поощрению и защите общепризнанных прав человека и основных свобод, резолюция 53/144 Генеральной Ассамблеи, A / RES / 53/144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CAB"/>
    <w:multiLevelType w:val="hybridMultilevel"/>
    <w:tmpl w:val="EBEC7D46"/>
    <w:lvl w:ilvl="0" w:tplc="9C1A34F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9428F3"/>
    <w:multiLevelType w:val="hybridMultilevel"/>
    <w:tmpl w:val="44225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BA574B"/>
    <w:multiLevelType w:val="hybridMultilevel"/>
    <w:tmpl w:val="387A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142B4B"/>
    <w:multiLevelType w:val="hybridMultilevel"/>
    <w:tmpl w:val="73A2A79E"/>
    <w:lvl w:ilvl="0" w:tplc="9C1A34F0">
      <w:numFmt w:val="bullet"/>
      <w:lvlText w:val="•"/>
      <w:lvlJc w:val="left"/>
      <w:pPr>
        <w:ind w:left="1065"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9B4E9E"/>
    <w:multiLevelType w:val="hybridMultilevel"/>
    <w:tmpl w:val="22F8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8965F0"/>
    <w:multiLevelType w:val="hybridMultilevel"/>
    <w:tmpl w:val="F6EC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A09"/>
    <w:rsid w:val="00037A09"/>
    <w:rsid w:val="00065205"/>
    <w:rsid w:val="001C4332"/>
    <w:rsid w:val="002C0F20"/>
    <w:rsid w:val="00346D24"/>
    <w:rsid w:val="005113AD"/>
    <w:rsid w:val="005177DE"/>
    <w:rsid w:val="005E16C1"/>
    <w:rsid w:val="005E1A3D"/>
    <w:rsid w:val="006C5510"/>
    <w:rsid w:val="00792682"/>
    <w:rsid w:val="00805EBC"/>
    <w:rsid w:val="008B2A03"/>
    <w:rsid w:val="00926D82"/>
    <w:rsid w:val="00A34C85"/>
    <w:rsid w:val="00B40F1E"/>
    <w:rsid w:val="00DD5742"/>
    <w:rsid w:val="00F121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F99D5-1BC8-3640-AD5E-4648E23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D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6D82"/>
    <w:pPr>
      <w:spacing w:after="0" w:line="240" w:lineRule="auto"/>
    </w:pPr>
    <w:rPr>
      <w:sz w:val="20"/>
      <w:szCs w:val="20"/>
    </w:rPr>
  </w:style>
  <w:style w:type="character" w:customStyle="1" w:styleId="FootnoteTextChar">
    <w:name w:val="Footnote Text Char"/>
    <w:basedOn w:val="DefaultParagraphFont"/>
    <w:link w:val="FootnoteText"/>
    <w:uiPriority w:val="99"/>
    <w:rsid w:val="00926D82"/>
    <w:rPr>
      <w:sz w:val="20"/>
      <w:szCs w:val="20"/>
    </w:rPr>
  </w:style>
  <w:style w:type="character" w:styleId="FootnoteReference">
    <w:name w:val="footnote reference"/>
    <w:basedOn w:val="DefaultParagraphFont"/>
    <w:uiPriority w:val="99"/>
    <w:semiHidden/>
    <w:unhideWhenUsed/>
    <w:rsid w:val="00926D82"/>
    <w:rPr>
      <w:vertAlign w:val="superscript"/>
    </w:rPr>
  </w:style>
  <w:style w:type="paragraph" w:styleId="ListParagraph">
    <w:name w:val="List Paragraph"/>
    <w:basedOn w:val="Normal"/>
    <w:uiPriority w:val="34"/>
    <w:qFormat/>
    <w:rsid w:val="00DD5742"/>
    <w:pPr>
      <w:ind w:left="720"/>
      <w:contextualSpacing/>
    </w:pPr>
  </w:style>
  <w:style w:type="character" w:styleId="Hyperlink">
    <w:name w:val="Hyperlink"/>
    <w:basedOn w:val="DefaultParagraphFont"/>
    <w:uiPriority w:val="99"/>
    <w:unhideWhenUsed/>
    <w:rsid w:val="00F12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Indicators/Pages/HRIndicators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hchr.org/EN/PublicationsResources/Pages/MethodologicalMaterial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2B91-7156-6348-9C34-381DDC6C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4264</Words>
  <Characters>24307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5</cp:revision>
  <dcterms:created xsi:type="dcterms:W3CDTF">2018-06-18T12:19:00Z</dcterms:created>
  <dcterms:modified xsi:type="dcterms:W3CDTF">2021-08-19T17:33:00Z</dcterms:modified>
</cp:coreProperties>
</file>