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0A4" w:rsidRPr="00397568" w:rsidRDefault="00F230A4" w:rsidP="00F230A4">
      <w:pPr>
        <w:pStyle w:val="ListParagraph"/>
        <w:spacing w:before="100" w:beforeAutospacing="1" w:after="100" w:afterAutospacing="1"/>
        <w:ind w:left="0"/>
        <w:contextualSpacing w:val="0"/>
        <w:rPr>
          <w:rFonts w:ascii="Times New Roman" w:hAnsi="Times New Roman" w:cs="Times New Roman"/>
          <w:b/>
          <w:sz w:val="24"/>
          <w:szCs w:val="24"/>
        </w:rPr>
      </w:pPr>
      <w:r w:rsidRPr="00397568">
        <w:rPr>
          <w:rFonts w:ascii="Times New Roman" w:hAnsi="Times New Roman" w:cs="Times New Roman"/>
          <w:b/>
          <w:sz w:val="24"/>
          <w:szCs w:val="24"/>
        </w:rPr>
        <w:t>Цель 14: Сохранение и рациональное использование океанов, морей и морских ресурсов в интересах устойчивого развития</w:t>
      </w:r>
    </w:p>
    <w:p w:rsidR="00F230A4" w:rsidRPr="00397568" w:rsidRDefault="00F230A4" w:rsidP="00F230A4">
      <w:pPr>
        <w:pStyle w:val="ListParagraph"/>
        <w:spacing w:before="100" w:beforeAutospacing="1" w:after="100" w:afterAutospacing="1"/>
        <w:ind w:left="0"/>
        <w:contextualSpacing w:val="0"/>
        <w:rPr>
          <w:rFonts w:ascii="Times New Roman" w:hAnsi="Times New Roman" w:cs="Times New Roman"/>
          <w:b/>
          <w:sz w:val="24"/>
          <w:szCs w:val="24"/>
        </w:rPr>
      </w:pPr>
      <w:r w:rsidRPr="00397568">
        <w:rPr>
          <w:rFonts w:ascii="Times New Roman" w:hAnsi="Times New Roman" w:cs="Times New Roman"/>
          <w:b/>
          <w:sz w:val="24"/>
          <w:szCs w:val="24"/>
        </w:rPr>
        <w:t>Задача 14.b Обеспечить доступ мелких хозяйств, занимающихся кустарным рыбным промыслом, к морским ресурсам и рынкам</w:t>
      </w:r>
    </w:p>
    <w:p w:rsidR="00F230A4" w:rsidRPr="00397568" w:rsidRDefault="00F230A4" w:rsidP="00F230A4">
      <w:pPr>
        <w:pStyle w:val="ListParagraph"/>
        <w:spacing w:before="100" w:beforeAutospacing="1" w:after="100" w:afterAutospacing="1"/>
        <w:ind w:left="0"/>
        <w:contextualSpacing w:val="0"/>
        <w:rPr>
          <w:rFonts w:ascii="Times New Roman" w:hAnsi="Times New Roman" w:cs="Times New Roman"/>
          <w:b/>
          <w:color w:val="0070C0"/>
          <w:sz w:val="24"/>
          <w:szCs w:val="24"/>
        </w:rPr>
      </w:pPr>
      <w:r w:rsidRPr="00397568">
        <w:rPr>
          <w:rFonts w:ascii="Times New Roman" w:hAnsi="Times New Roman" w:cs="Times New Roman"/>
          <w:b/>
          <w:color w:val="0070C0"/>
          <w:sz w:val="24"/>
          <w:szCs w:val="24"/>
        </w:rPr>
        <w:t>Показатель 14.b.1 Достигнутый странами прогресс с точки зрения степени применения нормативно-правовых/ стратегических/ институциональных рамок, обеспечивающих признание и защиту прав доступа мелких рыбопромысловых предприятий</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Институциональная информация</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b/>
          <w:sz w:val="24"/>
          <w:szCs w:val="24"/>
        </w:rPr>
      </w:pPr>
      <w:r w:rsidRPr="00397568">
        <w:rPr>
          <w:rFonts w:ascii="Times New Roman" w:hAnsi="Times New Roman" w:cs="Times New Roman"/>
          <w:b/>
          <w:sz w:val="24"/>
          <w:szCs w:val="24"/>
        </w:rPr>
        <w:t>Организация(и)</w:t>
      </w: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sz w:val="24"/>
          <w:szCs w:val="24"/>
        </w:rPr>
      </w:pPr>
      <w:r w:rsidRPr="00397568">
        <w:rPr>
          <w:rFonts w:ascii="Times New Roman" w:hAnsi="Times New Roman" w:cs="Times New Roman"/>
          <w:sz w:val="24"/>
          <w:szCs w:val="24"/>
        </w:rPr>
        <w:t>ФАО ООН</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Концепции и определения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b/>
          <w:sz w:val="24"/>
          <w:szCs w:val="24"/>
        </w:rPr>
      </w:pPr>
      <w:r w:rsidRPr="00397568">
        <w:rPr>
          <w:rFonts w:ascii="Times New Roman" w:hAnsi="Times New Roman" w:cs="Times New Roman"/>
          <w:b/>
          <w:sz w:val="24"/>
          <w:szCs w:val="24"/>
        </w:rPr>
        <w:t>Определение:</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Прогресс по ряду стран в степени применения правовой/нормативной/политической/ институциональной структуры, которая признает и защищает права доступа к мелкомасштабному рыболовству.</w:t>
      </w:r>
    </w:p>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b/>
          <w:sz w:val="24"/>
          <w:szCs w:val="24"/>
        </w:rPr>
      </w:pPr>
      <w:r w:rsidRPr="00397568">
        <w:rPr>
          <w:rFonts w:ascii="Times New Roman" w:hAnsi="Times New Roman" w:cs="Times New Roman"/>
          <w:b/>
          <w:sz w:val="24"/>
          <w:szCs w:val="24"/>
        </w:rPr>
        <w:t>Обоснование:</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Задача 14.b сосредоточена на доступе к ресурсам и рынкам мелкомасштабного рыболовства в соответствии с пунктом 175 итогового документа Рио + 20. Чтобы гарантировать безопасный доступ, необходима благоприятная среда, которая признает и защищает мелкомасштабные промыслы прав. Такая благоприятная среда имеет три ключевые особенности:</w:t>
      </w:r>
    </w:p>
    <w:p w:rsidR="00F230A4" w:rsidRPr="00397568" w:rsidRDefault="00F230A4" w:rsidP="00F230A4">
      <w:pPr>
        <w:pStyle w:val="ListParagraph"/>
        <w:numPr>
          <w:ilvl w:val="0"/>
          <w:numId w:val="9"/>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Соответствующие правовые, нормативные и политические рамки</w:t>
      </w:r>
    </w:p>
    <w:p w:rsidR="00F230A4" w:rsidRPr="00397568" w:rsidRDefault="00F230A4" w:rsidP="00F230A4">
      <w:pPr>
        <w:pStyle w:val="ListParagraph"/>
        <w:numPr>
          <w:ilvl w:val="0"/>
          <w:numId w:val="9"/>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Конкретные инициативы по поддержке мелкомасштабного рыболовства и</w:t>
      </w:r>
    </w:p>
    <w:p w:rsidR="00F230A4" w:rsidRPr="00397568" w:rsidRDefault="00F230A4" w:rsidP="00F230A4">
      <w:pPr>
        <w:pStyle w:val="ListParagraph"/>
        <w:numPr>
          <w:ilvl w:val="0"/>
          <w:numId w:val="9"/>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lastRenderedPageBreak/>
        <w:t>Связанные институциональные механизмы, которые позволяют участвовать мелкомасштабным рыбохозяйственным организациям в соответствующих процессах.</w:t>
      </w: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32-я сессия Комитета ФАО по рыболовству согласилась с тем, что данные, представленные через вопросник Кодекса поведения ответственного рыболовства (CCRF), могут использоваться странами-членами для представления показателей по показателям устойчивого развития (ЦУР).</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Поэтому переменные показателя выбираются из трех из пяти вопросов мелкомасштабного промысла вопросника CCRF, чтобы отразить эти три аспекта:</w:t>
      </w:r>
    </w:p>
    <w:p w:rsidR="00F230A4" w:rsidRPr="00397568" w:rsidRDefault="00F230A4" w:rsidP="00F230A4">
      <w:pPr>
        <w:pStyle w:val="ListParagraph"/>
        <w:numPr>
          <w:ilvl w:val="0"/>
          <w:numId w:val="10"/>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Существуют ли какие-либо законы, положения, политика, планы или стратегии, которые конкретно нацелены или направлены на мелкомасштабный сектор рыболовства?</w:t>
      </w:r>
    </w:p>
    <w:p w:rsidR="00F230A4" w:rsidRPr="00397568" w:rsidRDefault="00F230A4" w:rsidP="00F230A4">
      <w:pPr>
        <w:pStyle w:val="ListParagraph"/>
        <w:numPr>
          <w:ilvl w:val="0"/>
          <w:numId w:val="10"/>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Существуют ли какие-либо конкретные инициативы по внедрению Руководства SSF?</w:t>
      </w:r>
    </w:p>
    <w:p w:rsidR="00F230A4" w:rsidRPr="00397568" w:rsidRDefault="00F230A4" w:rsidP="00F230A4">
      <w:pPr>
        <w:pStyle w:val="ListParagraph"/>
        <w:numPr>
          <w:ilvl w:val="0"/>
          <w:numId w:val="10"/>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Имеет ли ваша страна консультативный/консультативный орган Министерства/ Департамента рыбного хозяйства, в котором рыбаки/рыбопромышленники могут участвовать и участвовать в процессах принятия решений?</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Национальный показатель рассчитывается на основе этих вопросов, в которых особое внимание уделяется фактическим усилиям по поощрению и облегчению доступа к мелкомасштабному рыболовству.</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Хотя точный счет будет важен с одного отчетного года на следующий для определения прогресса, достигнутого страной, чтобы помочь интерпретации этого показателя, оценка затем будет преобразована в одну из 5 групп следующим образом:</w:t>
      </w:r>
    </w:p>
    <w:tbl>
      <w:tblPr>
        <w:tblStyle w:val="LightShading"/>
        <w:tblW w:w="0" w:type="auto"/>
        <w:tblLook w:val="04A0" w:firstRow="1" w:lastRow="0" w:firstColumn="1" w:lastColumn="0" w:noHBand="0" w:noVBand="1"/>
      </w:tblPr>
      <w:tblGrid>
        <w:gridCol w:w="1512"/>
        <w:gridCol w:w="8059"/>
      </w:tblGrid>
      <w:tr w:rsidR="00F230A4" w:rsidRPr="00397568" w:rsidTr="00CC355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b w:val="0"/>
                <w:sz w:val="24"/>
                <w:szCs w:val="24"/>
              </w:rPr>
            </w:pPr>
            <w:r w:rsidRPr="00397568">
              <w:rPr>
                <w:rFonts w:ascii="Times New Roman" w:hAnsi="Times New Roman" w:cs="Times New Roman"/>
                <w:sz w:val="24"/>
                <w:szCs w:val="24"/>
              </w:rPr>
              <w:t>Баллы</w:t>
            </w:r>
          </w:p>
        </w:tc>
        <w:tc>
          <w:tcPr>
            <w:tcW w:w="8190" w:type="dxa"/>
          </w:tcPr>
          <w:p w:rsidR="00F230A4" w:rsidRPr="00397568" w:rsidRDefault="00F230A4" w:rsidP="00CC3551">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97568">
              <w:rPr>
                <w:rFonts w:ascii="Times New Roman" w:hAnsi="Times New Roman" w:cs="Times New Roman"/>
                <w:sz w:val="24"/>
                <w:szCs w:val="24"/>
              </w:rPr>
              <w:t>Группа</w:t>
            </w:r>
          </w:p>
        </w:tc>
      </w:tr>
      <w:tr w:rsidR="00F230A4" w:rsidRPr="00397568" w:rsidTr="00CC35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sz w:val="24"/>
                <w:szCs w:val="24"/>
              </w:rPr>
            </w:pPr>
            <w:r w:rsidRPr="00397568">
              <w:rPr>
                <w:rFonts w:ascii="Times New Roman" w:hAnsi="Times New Roman" w:cs="Times New Roman"/>
                <w:sz w:val="24"/>
                <w:szCs w:val="24"/>
              </w:rPr>
              <w:t>&gt;0 –&lt; 0.2</w:t>
            </w:r>
          </w:p>
        </w:tc>
        <w:tc>
          <w:tcPr>
            <w:tcW w:w="8190" w:type="dxa"/>
          </w:tcPr>
          <w:p w:rsidR="00F230A4" w:rsidRPr="00397568" w:rsidRDefault="00F230A4" w:rsidP="00CC355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7568">
              <w:rPr>
                <w:rFonts w:ascii="Times New Roman" w:hAnsi="Times New Roman" w:cs="Times New Roman"/>
                <w:sz w:val="24"/>
                <w:szCs w:val="24"/>
              </w:rPr>
              <w:t>Группа 1: Очень низкая реализация инструментов для доступа к ресурсам и рынкам мелкомасштабного рыболовства</w:t>
            </w:r>
          </w:p>
        </w:tc>
      </w:tr>
      <w:tr w:rsidR="00F230A4" w:rsidRPr="00397568" w:rsidTr="00CC3551">
        <w:trPr>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sz w:val="24"/>
                <w:szCs w:val="24"/>
              </w:rPr>
            </w:pPr>
            <w:r w:rsidRPr="00397568">
              <w:rPr>
                <w:rFonts w:ascii="Times New Roman" w:hAnsi="Times New Roman" w:cs="Times New Roman"/>
                <w:sz w:val="24"/>
                <w:szCs w:val="24"/>
              </w:rPr>
              <w:t>0.2 –&lt; 0.4</w:t>
            </w:r>
          </w:p>
        </w:tc>
        <w:tc>
          <w:tcPr>
            <w:tcW w:w="8190" w:type="dxa"/>
          </w:tcPr>
          <w:p w:rsidR="00F230A4" w:rsidRPr="00397568" w:rsidRDefault="00F230A4" w:rsidP="00CC3551">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7568">
              <w:rPr>
                <w:rFonts w:ascii="Times New Roman" w:hAnsi="Times New Roman" w:cs="Times New Roman"/>
                <w:sz w:val="24"/>
                <w:szCs w:val="24"/>
              </w:rPr>
              <w:t>Группа 2: Низкая реализация инструментов для доступа к ресурсам и рынкам мелкомасштабного рыболовства</w:t>
            </w:r>
          </w:p>
        </w:tc>
      </w:tr>
      <w:tr w:rsidR="00F230A4" w:rsidRPr="00397568" w:rsidTr="00CC35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sz w:val="24"/>
                <w:szCs w:val="24"/>
              </w:rPr>
            </w:pPr>
            <w:r w:rsidRPr="00397568">
              <w:rPr>
                <w:rFonts w:ascii="Times New Roman" w:hAnsi="Times New Roman" w:cs="Times New Roman"/>
                <w:sz w:val="24"/>
                <w:szCs w:val="24"/>
              </w:rPr>
              <w:t>0.4 –&lt; 0.6</w:t>
            </w:r>
          </w:p>
        </w:tc>
        <w:tc>
          <w:tcPr>
            <w:tcW w:w="8190" w:type="dxa"/>
          </w:tcPr>
          <w:p w:rsidR="00F230A4" w:rsidRPr="00397568" w:rsidRDefault="00F230A4" w:rsidP="00CC355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7568">
              <w:rPr>
                <w:rFonts w:ascii="Times New Roman" w:hAnsi="Times New Roman" w:cs="Times New Roman"/>
                <w:sz w:val="24"/>
                <w:szCs w:val="24"/>
              </w:rPr>
              <w:t>Группа 3: Средняя реализация инструментов для доступа к ресурсам и рынкам мелкомасштабного рыболовства</w:t>
            </w:r>
          </w:p>
        </w:tc>
      </w:tr>
      <w:tr w:rsidR="00F230A4" w:rsidRPr="00397568" w:rsidTr="00CC3551">
        <w:trPr>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sz w:val="24"/>
                <w:szCs w:val="24"/>
              </w:rPr>
            </w:pPr>
            <w:r w:rsidRPr="00397568">
              <w:rPr>
                <w:rFonts w:ascii="Times New Roman" w:hAnsi="Times New Roman" w:cs="Times New Roman"/>
                <w:sz w:val="24"/>
                <w:szCs w:val="24"/>
              </w:rPr>
              <w:t>0.6 –&lt; 0.8</w:t>
            </w:r>
          </w:p>
        </w:tc>
        <w:tc>
          <w:tcPr>
            <w:tcW w:w="8190" w:type="dxa"/>
          </w:tcPr>
          <w:p w:rsidR="00F230A4" w:rsidRPr="00397568" w:rsidRDefault="00F230A4" w:rsidP="00CC3551">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97568">
              <w:rPr>
                <w:rFonts w:ascii="Times New Roman" w:hAnsi="Times New Roman" w:cs="Times New Roman"/>
                <w:sz w:val="24"/>
                <w:szCs w:val="24"/>
              </w:rPr>
              <w:t>Группа 4: Высокая реализация инструментов для доступа к ресурсам и рынкам мелкомасштабного рыболовства</w:t>
            </w:r>
          </w:p>
        </w:tc>
      </w:tr>
      <w:tr w:rsidR="00F230A4" w:rsidRPr="00397568" w:rsidTr="00CC355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25" w:type="dxa"/>
          </w:tcPr>
          <w:p w:rsidR="00F230A4" w:rsidRPr="00397568" w:rsidRDefault="00F230A4" w:rsidP="00CC3551">
            <w:pPr>
              <w:spacing w:before="100" w:beforeAutospacing="1" w:after="100" w:afterAutospacing="1" w:line="276" w:lineRule="auto"/>
              <w:jc w:val="both"/>
              <w:rPr>
                <w:rFonts w:ascii="Times New Roman" w:hAnsi="Times New Roman" w:cs="Times New Roman"/>
                <w:sz w:val="24"/>
                <w:szCs w:val="24"/>
              </w:rPr>
            </w:pPr>
            <w:r w:rsidRPr="00397568">
              <w:rPr>
                <w:rFonts w:ascii="Times New Roman" w:hAnsi="Times New Roman" w:cs="Times New Roman"/>
                <w:sz w:val="24"/>
                <w:szCs w:val="24"/>
              </w:rPr>
              <w:t>0.8 – 1.0</w:t>
            </w:r>
          </w:p>
        </w:tc>
        <w:tc>
          <w:tcPr>
            <w:tcW w:w="8190" w:type="dxa"/>
          </w:tcPr>
          <w:p w:rsidR="00F230A4" w:rsidRPr="00397568" w:rsidRDefault="00F230A4" w:rsidP="00CC355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97568">
              <w:rPr>
                <w:rFonts w:ascii="Times New Roman" w:hAnsi="Times New Roman" w:cs="Times New Roman"/>
                <w:sz w:val="24"/>
                <w:szCs w:val="24"/>
              </w:rPr>
              <w:t>Группа 5: Очень высокая реализация инструментов для доступа к ресурсам и рынкам мелкомасштабного рыболовства</w:t>
            </w:r>
          </w:p>
        </w:tc>
      </w:tr>
    </w:tbl>
    <w:p w:rsidR="00F230A4" w:rsidRPr="006C2CA3" w:rsidRDefault="00F230A4" w:rsidP="00F230A4">
      <w:pPr>
        <w:pStyle w:val="ListParagraph"/>
        <w:spacing w:before="100" w:beforeAutospacing="1" w:after="100" w:afterAutospacing="1"/>
        <w:ind w:left="0"/>
        <w:contextualSpacing w:val="0"/>
        <w:jc w:val="both"/>
        <w:rPr>
          <w:rFonts w:ascii="Times New Roman" w:hAnsi="Times New Roman" w:cs="Times New Roman"/>
          <w:sz w:val="24"/>
          <w:szCs w:val="24"/>
        </w:rPr>
      </w:pP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b/>
          <w:sz w:val="24"/>
          <w:szCs w:val="24"/>
        </w:rPr>
      </w:pPr>
      <w:r w:rsidRPr="00397568">
        <w:rPr>
          <w:rFonts w:ascii="Times New Roman" w:hAnsi="Times New Roman" w:cs="Times New Roman"/>
          <w:b/>
          <w:sz w:val="24"/>
          <w:szCs w:val="24"/>
        </w:rPr>
        <w:t xml:space="preserve">Концепции: </w:t>
      </w: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sz w:val="24"/>
          <w:szCs w:val="24"/>
        </w:rPr>
      </w:pPr>
      <w:r w:rsidRPr="00397568">
        <w:rPr>
          <w:rFonts w:ascii="Times New Roman" w:hAnsi="Times New Roman" w:cs="Times New Roman"/>
          <w:sz w:val="24"/>
          <w:szCs w:val="24"/>
        </w:rPr>
        <w:lastRenderedPageBreak/>
        <w:t>Национальные статистические системы уже собирают данные, относящиеся к рыболовству, с акцентом на производство, занятость и торговлю. Соответствующие концепции можно найти в Справочнике по статистике рыболовства, принятом CWP Координационной рабочей группы по статистике рыболовства (CWP).</w:t>
      </w:r>
    </w:p>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Комментарии и ограничения:</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Следует отметить, что, хотя задача 14.b относится к доступу мелкомасштабных кустарных рыбаков к морским ресурсам и рынкам, некоторые страны, не имеющие выхода к морю, с внутренним рыболовством, воспользовались возможностью для представления доклада по этому показателю.</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Методология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Метод расчета:</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Показатель рассчитывается с использованием трех переменных, которым присваиваются соответствующие значения для окончательного расчета. В расчете не было изменений, а также использования смешанных источников.</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b/>
          <w:sz w:val="24"/>
          <w:szCs w:val="24"/>
        </w:rPr>
        <w:t>Переменная 1:</w:t>
      </w:r>
      <w:r w:rsidRPr="00397568">
        <w:rPr>
          <w:rFonts w:ascii="Times New Roman" w:hAnsi="Times New Roman" w:cs="Times New Roman"/>
          <w:sz w:val="24"/>
          <w:szCs w:val="24"/>
        </w:rPr>
        <w:t xml:space="preserve"> Существование законов, положений, политик, планов или стратегий, которые конкретно нацелены или направлены на мелкомасштабный сектор рыболовства</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b/>
          <w:sz w:val="24"/>
          <w:szCs w:val="24"/>
        </w:rPr>
        <w:t xml:space="preserve">Переменная 2: </w:t>
      </w:r>
      <w:r w:rsidRPr="00397568">
        <w:rPr>
          <w:rFonts w:ascii="Times New Roman" w:hAnsi="Times New Roman" w:cs="Times New Roman"/>
          <w:sz w:val="24"/>
          <w:szCs w:val="24"/>
        </w:rPr>
        <w:t>Текущие конкретные инициативы по внедрению Руководства SSF</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b/>
          <w:sz w:val="24"/>
          <w:szCs w:val="24"/>
        </w:rPr>
        <w:t>Переменная 3:</w:t>
      </w:r>
      <w:r w:rsidRPr="00397568">
        <w:rPr>
          <w:rFonts w:ascii="Times New Roman" w:hAnsi="Times New Roman" w:cs="Times New Roman"/>
          <w:sz w:val="24"/>
          <w:szCs w:val="24"/>
        </w:rPr>
        <w:t xml:space="preserve"> Наличие механизмов, позволяющих мелким рыбакам и рыбным работникам вносить свой вклад в процессы принятия решений</w:t>
      </w:r>
    </w:p>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u w:val="single"/>
        </w:rPr>
      </w:pPr>
      <w:r w:rsidRPr="00397568">
        <w:rPr>
          <w:rFonts w:ascii="Times New Roman" w:hAnsi="Times New Roman" w:cs="Times New Roman"/>
          <w:sz w:val="24"/>
          <w:szCs w:val="24"/>
        </w:rPr>
        <w:t xml:space="preserve">Эффективность оценивается на основе ответов стран на соответствующие части из трех вопросов, включенных в вопросник Кодекса поведения ответственного рыболовства (CCRF). Эти вопросы были преобразованы в взвешенные переменные с целью расчета показателей страны. </w:t>
      </w:r>
      <w:r w:rsidRPr="00397568">
        <w:rPr>
          <w:rFonts w:ascii="Times New Roman" w:hAnsi="Times New Roman" w:cs="Times New Roman"/>
          <w:sz w:val="24"/>
          <w:szCs w:val="24"/>
          <w:u w:val="single"/>
        </w:rPr>
        <w:t>Цель была настроена на положительный («да») ответ на подпеременные, в результате чего оценка 1.</w:t>
      </w:r>
    </w:p>
    <w:tbl>
      <w:tblPr>
        <w:tblW w:w="8275" w:type="dxa"/>
        <w:tblInd w:w="959" w:type="dxa"/>
        <w:tblLayout w:type="fixed"/>
        <w:tblLook w:val="04A0" w:firstRow="1" w:lastRow="0" w:firstColumn="1" w:lastColumn="0" w:noHBand="0" w:noVBand="1"/>
      </w:tblPr>
      <w:tblGrid>
        <w:gridCol w:w="1134"/>
        <w:gridCol w:w="1276"/>
        <w:gridCol w:w="1134"/>
        <w:gridCol w:w="488"/>
        <w:gridCol w:w="1071"/>
        <w:gridCol w:w="1276"/>
        <w:gridCol w:w="1896"/>
      </w:tblGrid>
      <w:tr w:rsidR="00F230A4" w:rsidRPr="00397568" w:rsidTr="00CC3551">
        <w:trPr>
          <w:trHeight w:val="300"/>
        </w:trPr>
        <w:tc>
          <w:tcPr>
            <w:tcW w:w="1134" w:type="dxa"/>
            <w:tcBorders>
              <w:top w:val="single" w:sz="8" w:space="0" w:color="auto"/>
              <w:left w:val="single" w:sz="8"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rPr>
            </w:pPr>
            <w:r w:rsidRPr="00397568">
              <w:rPr>
                <w:rFonts w:ascii="Times New Roman" w:eastAsia="Times New Roman" w:hAnsi="Times New Roman" w:cs="Times New Roman"/>
                <w:color w:val="000000"/>
                <w:sz w:val="24"/>
                <w:szCs w:val="24"/>
                <w:lang w:val="en-US"/>
              </w:rPr>
              <w:t> </w:t>
            </w:r>
          </w:p>
        </w:tc>
        <w:tc>
          <w:tcPr>
            <w:tcW w:w="1276" w:type="dxa"/>
            <w:tcBorders>
              <w:top w:val="single" w:sz="8" w:space="0" w:color="auto"/>
              <w:left w:val="single" w:sz="8" w:space="0" w:color="auto"/>
              <w:bottom w:val="single" w:sz="4"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rPr>
            </w:pPr>
            <w:r w:rsidRPr="00397568">
              <w:rPr>
                <w:rFonts w:ascii="Times New Roman" w:eastAsia="Times New Roman" w:hAnsi="Times New Roman" w:cs="Times New Roman"/>
                <w:i/>
                <w:iCs/>
                <w:color w:val="000000"/>
                <w:sz w:val="24"/>
                <w:szCs w:val="24"/>
              </w:rPr>
              <w:t>Под</w:t>
            </w:r>
            <w:r w:rsidRPr="00397568">
              <w:rPr>
                <w:rFonts w:ascii="Times New Roman" w:hAnsi="Times New Roman" w:cs="Times New Roman"/>
                <w:i/>
                <w:sz w:val="24"/>
                <w:szCs w:val="24"/>
              </w:rPr>
              <w:t>п</w:t>
            </w:r>
            <w:r w:rsidRPr="00397568">
              <w:rPr>
                <w:rFonts w:ascii="Times New Roman" w:eastAsia="Times New Roman" w:hAnsi="Times New Roman" w:cs="Times New Roman"/>
                <w:i/>
                <w:iCs/>
                <w:color w:val="000000"/>
                <w:sz w:val="24"/>
                <w:szCs w:val="24"/>
                <w:lang w:val="en-US"/>
              </w:rPr>
              <w:t>еременн</w:t>
            </w:r>
            <w:r w:rsidRPr="00397568">
              <w:rPr>
                <w:rFonts w:ascii="Times New Roman" w:eastAsia="Times New Roman" w:hAnsi="Times New Roman" w:cs="Times New Roman"/>
                <w:i/>
                <w:iCs/>
                <w:color w:val="000000"/>
                <w:sz w:val="24"/>
                <w:szCs w:val="24"/>
              </w:rPr>
              <w:t>ые</w:t>
            </w:r>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rPr>
            </w:pPr>
            <w:r w:rsidRPr="00397568">
              <w:rPr>
                <w:rFonts w:ascii="Times New Roman" w:eastAsia="Times New Roman" w:hAnsi="Times New Roman" w:cs="Times New Roman"/>
                <w:i/>
                <w:iCs/>
                <w:color w:val="000000"/>
                <w:sz w:val="24"/>
                <w:szCs w:val="24"/>
              </w:rPr>
              <w:t>Вес</w:t>
            </w:r>
          </w:p>
        </w:tc>
        <w:tc>
          <w:tcPr>
            <w:tcW w:w="488" w:type="dxa"/>
            <w:tcBorders>
              <w:top w:val="single" w:sz="4" w:space="0" w:color="FFFFFF"/>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lang w:val="en-US"/>
              </w:rPr>
            </w:pPr>
            <w:r w:rsidRPr="00397568">
              <w:rPr>
                <w:rFonts w:ascii="Times New Roman" w:eastAsia="Times New Roman" w:hAnsi="Times New Roman" w:cs="Times New Roman"/>
                <w:i/>
                <w:iCs/>
                <w:color w:val="000000"/>
                <w:sz w:val="24"/>
                <w:szCs w:val="24"/>
                <w:lang w:val="en-US"/>
              </w:rPr>
              <w:t> </w:t>
            </w:r>
          </w:p>
        </w:tc>
        <w:tc>
          <w:tcPr>
            <w:tcW w:w="1071" w:type="dxa"/>
            <w:tcBorders>
              <w:top w:val="single" w:sz="8" w:space="0" w:color="auto"/>
              <w:left w:val="single" w:sz="8" w:space="0" w:color="auto"/>
              <w:bottom w:val="nil"/>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single" w:sz="8" w:space="0" w:color="auto"/>
              <w:left w:val="nil"/>
              <w:bottom w:val="single" w:sz="4"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i/>
                <w:iCs/>
                <w:color w:val="000000"/>
                <w:sz w:val="24"/>
                <w:szCs w:val="24"/>
              </w:rPr>
              <w:t>Подп</w:t>
            </w:r>
            <w:r w:rsidRPr="00397568">
              <w:rPr>
                <w:rFonts w:ascii="Times New Roman" w:eastAsia="Times New Roman" w:hAnsi="Times New Roman" w:cs="Times New Roman"/>
                <w:i/>
                <w:iCs/>
                <w:color w:val="000000"/>
                <w:sz w:val="24"/>
                <w:szCs w:val="24"/>
                <w:lang w:val="en-US"/>
              </w:rPr>
              <w:t>еременн</w:t>
            </w:r>
            <w:r w:rsidRPr="00397568">
              <w:rPr>
                <w:rFonts w:ascii="Times New Roman" w:eastAsia="Times New Roman" w:hAnsi="Times New Roman" w:cs="Times New Roman"/>
                <w:i/>
                <w:iCs/>
                <w:color w:val="000000"/>
                <w:sz w:val="24"/>
                <w:szCs w:val="24"/>
              </w:rPr>
              <w:t>ые</w:t>
            </w:r>
          </w:p>
        </w:tc>
        <w:tc>
          <w:tcPr>
            <w:tcW w:w="189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rPr>
            </w:pPr>
            <w:r w:rsidRPr="00397568">
              <w:rPr>
                <w:rFonts w:ascii="Times New Roman" w:eastAsia="Times New Roman" w:hAnsi="Times New Roman" w:cs="Times New Roman"/>
                <w:i/>
                <w:iCs/>
                <w:color w:val="000000"/>
                <w:sz w:val="24"/>
                <w:szCs w:val="24"/>
              </w:rPr>
              <w:t>Вес</w:t>
            </w:r>
          </w:p>
        </w:tc>
      </w:tr>
      <w:tr w:rsidR="00F230A4" w:rsidRPr="00397568" w:rsidTr="00CC3551">
        <w:trPr>
          <w:trHeight w:val="300"/>
        </w:trPr>
        <w:tc>
          <w:tcPr>
            <w:tcW w:w="1134" w:type="dxa"/>
            <w:vMerge w:val="restart"/>
            <w:tcBorders>
              <w:top w:val="nil"/>
              <w:left w:val="single" w:sz="8" w:space="0" w:color="auto"/>
              <w:bottom w:val="single" w:sz="4" w:space="0" w:color="FFFFFF"/>
              <w:right w:val="single" w:sz="8" w:space="0" w:color="auto"/>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r w:rsidRPr="00397568">
              <w:rPr>
                <w:rFonts w:ascii="Times New Roman" w:eastAsia="Times New Roman" w:hAnsi="Times New Roman" w:cs="Times New Roman"/>
                <w:b/>
                <w:bCs/>
                <w:i/>
                <w:iCs/>
                <w:color w:val="000000"/>
                <w:sz w:val="24"/>
                <w:szCs w:val="24"/>
              </w:rPr>
              <w:t>Переменная</w:t>
            </w:r>
            <w:r w:rsidRPr="00397568">
              <w:rPr>
                <w:rFonts w:ascii="Times New Roman" w:eastAsia="Times New Roman" w:hAnsi="Times New Roman" w:cs="Times New Roman"/>
                <w:b/>
                <w:bCs/>
                <w:i/>
                <w:iCs/>
                <w:color w:val="000000"/>
                <w:sz w:val="24"/>
                <w:szCs w:val="24"/>
                <w:lang w:val="en-US"/>
              </w:rPr>
              <w:t xml:space="preserve"> 1</w:t>
            </w: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1.1</w:t>
            </w:r>
          </w:p>
        </w:tc>
        <w:tc>
          <w:tcPr>
            <w:tcW w:w="1134"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0.1</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r w:rsidRPr="00397568">
              <w:rPr>
                <w:rFonts w:ascii="Times New Roman" w:eastAsia="Times New Roman" w:hAnsi="Times New Roman" w:cs="Times New Roman"/>
                <w:b/>
                <w:bCs/>
                <w:i/>
                <w:iCs/>
                <w:color w:val="000000"/>
                <w:sz w:val="24"/>
                <w:szCs w:val="24"/>
              </w:rPr>
              <w:t>Переменная</w:t>
            </w:r>
            <w:r w:rsidRPr="00397568">
              <w:rPr>
                <w:rFonts w:ascii="Times New Roman" w:eastAsia="Times New Roman" w:hAnsi="Times New Roman" w:cs="Times New Roman"/>
                <w:b/>
                <w:bCs/>
                <w:i/>
                <w:iCs/>
                <w:color w:val="000000"/>
                <w:sz w:val="24"/>
                <w:szCs w:val="24"/>
                <w:lang w:val="en-US"/>
              </w:rPr>
              <w:t xml:space="preserve"> 2</w:t>
            </w: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lang w:val="en-US"/>
              </w:rPr>
            </w:pPr>
            <w:r w:rsidRPr="00397568">
              <w:rPr>
                <w:rFonts w:ascii="Times New Roman" w:eastAsia="Times New Roman" w:hAnsi="Times New Roman" w:cs="Times New Roman"/>
                <w:i/>
                <w:iCs/>
                <w:color w:val="000000"/>
                <w:sz w:val="24"/>
                <w:szCs w:val="24"/>
                <w:lang w:val="en-US"/>
              </w:rPr>
              <w:t>2.1</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1134" w:type="dxa"/>
            <w:vMerge/>
            <w:tcBorders>
              <w:top w:val="nil"/>
              <w:left w:val="single" w:sz="8" w:space="0" w:color="auto"/>
              <w:bottom w:val="single" w:sz="4" w:space="0" w:color="FFFFFF"/>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1.2</w:t>
            </w:r>
          </w:p>
        </w:tc>
        <w:tc>
          <w:tcPr>
            <w:tcW w:w="1134"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0.1</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2.2</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1134" w:type="dxa"/>
            <w:vMerge/>
            <w:tcBorders>
              <w:top w:val="nil"/>
              <w:left w:val="single" w:sz="8" w:space="0" w:color="auto"/>
              <w:bottom w:val="single" w:sz="4" w:space="0" w:color="FFFFFF"/>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1.3</w:t>
            </w:r>
          </w:p>
        </w:tc>
        <w:tc>
          <w:tcPr>
            <w:tcW w:w="1134"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0.1</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2.3</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1134" w:type="dxa"/>
            <w:vMerge/>
            <w:tcBorders>
              <w:top w:val="nil"/>
              <w:left w:val="single" w:sz="8" w:space="0" w:color="auto"/>
              <w:bottom w:val="single" w:sz="4" w:space="0" w:color="FFFFFF"/>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1.4</w:t>
            </w:r>
          </w:p>
        </w:tc>
        <w:tc>
          <w:tcPr>
            <w:tcW w:w="1134"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0.1</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2.4</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13"/>
        </w:trPr>
        <w:tc>
          <w:tcPr>
            <w:tcW w:w="1134" w:type="dxa"/>
            <w:vMerge/>
            <w:tcBorders>
              <w:top w:val="nil"/>
              <w:left w:val="single" w:sz="8" w:space="0" w:color="auto"/>
              <w:bottom w:val="single" w:sz="4" w:space="0" w:color="FFFFFF"/>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nil"/>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1.5</w:t>
            </w:r>
          </w:p>
        </w:tc>
        <w:tc>
          <w:tcPr>
            <w:tcW w:w="1134" w:type="dxa"/>
            <w:tcBorders>
              <w:top w:val="nil"/>
              <w:left w:val="single" w:sz="4" w:space="0" w:color="auto"/>
              <w:bottom w:val="nil"/>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lang w:val="en-US"/>
              </w:rPr>
            </w:pPr>
            <w:r w:rsidRPr="00397568">
              <w:rPr>
                <w:rFonts w:ascii="Times New Roman" w:eastAsia="Times New Roman" w:hAnsi="Times New Roman" w:cs="Times New Roman"/>
                <w:i/>
                <w:iCs/>
                <w:color w:val="000000"/>
                <w:sz w:val="24"/>
                <w:szCs w:val="24"/>
                <w:vertAlign w:val="superscript"/>
                <w:lang w:val="en-US"/>
              </w:rPr>
              <w:t>1</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2.5</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250"/>
        </w:trPr>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single" w:sz="8" w:space="0" w:color="auto"/>
              <w:left w:val="single" w:sz="8" w:space="0" w:color="auto"/>
              <w:bottom w:val="single" w:sz="8"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lang w:val="en-US"/>
              </w:rPr>
              <w:t>Переменный вес</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lang w:val="en-US"/>
              </w:rPr>
              <w:t>0.4</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2.6</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3544" w:type="dxa"/>
            <w:gridSpan w:val="3"/>
            <w:vMerge w:val="restart"/>
            <w:tcBorders>
              <w:top w:val="nil"/>
              <w:left w:val="single" w:sz="4" w:space="0" w:color="FFFFFF"/>
              <w:bottom w:val="single" w:sz="4" w:space="0" w:color="FFFFFF"/>
              <w:right w:val="single" w:sz="4" w:space="0" w:color="FFFFFF"/>
            </w:tcBorders>
            <w:shd w:val="clear" w:color="auto" w:fill="auto"/>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rPr>
            </w:pPr>
            <w:r w:rsidRPr="00397568">
              <w:rPr>
                <w:rFonts w:ascii="Times New Roman" w:eastAsia="Times New Roman" w:hAnsi="Times New Roman" w:cs="Times New Roman"/>
                <w:i/>
                <w:iCs/>
                <w:color w:val="000000"/>
                <w:sz w:val="24"/>
                <w:szCs w:val="24"/>
                <w:vertAlign w:val="superscript"/>
              </w:rPr>
              <w:t>1</w:t>
            </w:r>
            <w:r w:rsidRPr="00397568">
              <w:rPr>
                <w:rFonts w:ascii="Times New Roman" w:eastAsia="Times New Roman" w:hAnsi="Times New Roman" w:cs="Times New Roman"/>
                <w:color w:val="000000"/>
                <w:sz w:val="24"/>
                <w:szCs w:val="24"/>
                <w:vertAlign w:val="superscript"/>
              </w:rPr>
              <w:t xml:space="preserve"> </w:t>
            </w:r>
            <w:r w:rsidRPr="00397568">
              <w:rPr>
                <w:rFonts w:ascii="Times New Roman" w:eastAsia="Times New Roman" w:hAnsi="Times New Roman" w:cs="Times New Roman"/>
                <w:color w:val="000000"/>
                <w:sz w:val="24"/>
                <w:szCs w:val="24"/>
              </w:rPr>
              <w:t xml:space="preserve">Под-переменная 1.5 взвешивается только тогда, когда предоставляется ответ «да» вместе с вспомогательными данными в текстовой форме. </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rPr>
            </w:pPr>
          </w:p>
        </w:tc>
        <w:tc>
          <w:tcPr>
            <w:tcW w:w="1276"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2.7</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3544" w:type="dxa"/>
            <w:gridSpan w:val="3"/>
            <w:vMerge/>
            <w:tcBorders>
              <w:top w:val="nil"/>
              <w:left w:val="single" w:sz="4" w:space="0" w:color="FFFFFF"/>
              <w:bottom w:val="single" w:sz="4" w:space="0" w:color="FFFFFF"/>
              <w:right w:val="single" w:sz="4" w:space="0" w:color="FFFFFF"/>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2.8</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00"/>
        </w:trPr>
        <w:tc>
          <w:tcPr>
            <w:tcW w:w="3544" w:type="dxa"/>
            <w:gridSpan w:val="3"/>
            <w:vMerge/>
            <w:tcBorders>
              <w:top w:val="nil"/>
              <w:left w:val="single" w:sz="4" w:space="0" w:color="FFFFFF"/>
              <w:bottom w:val="single" w:sz="4" w:space="0" w:color="FFFFFF"/>
              <w:right w:val="single" w:sz="4" w:space="0" w:color="FFFFFF"/>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single" w:sz="4" w:space="0" w:color="FFFFFF"/>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2.9</w:t>
            </w:r>
          </w:p>
        </w:tc>
        <w:tc>
          <w:tcPr>
            <w:tcW w:w="1896" w:type="dxa"/>
            <w:tcBorders>
              <w:top w:val="nil"/>
              <w:left w:val="single" w:sz="4"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15"/>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nil"/>
              <w:left w:val="nil"/>
              <w:bottom w:val="nil"/>
              <w:right w:val="nil"/>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2.10</w:t>
            </w:r>
          </w:p>
        </w:tc>
        <w:tc>
          <w:tcPr>
            <w:tcW w:w="1896" w:type="dxa"/>
            <w:tcBorders>
              <w:top w:val="nil"/>
              <w:left w:val="single" w:sz="4" w:space="0" w:color="auto"/>
              <w:bottom w:val="nil"/>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0.03</w:t>
            </w:r>
          </w:p>
        </w:tc>
      </w:tr>
      <w:tr w:rsidR="00F230A4" w:rsidRPr="00397568" w:rsidTr="00CC3551">
        <w:trPr>
          <w:trHeight w:val="315"/>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single" w:sz="8" w:space="0" w:color="auto"/>
              <w:left w:val="single" w:sz="8" w:space="0" w:color="auto"/>
              <w:bottom w:val="single" w:sz="8"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rPr>
              <w:t>Вес показателя</w:t>
            </w:r>
          </w:p>
        </w:tc>
        <w:tc>
          <w:tcPr>
            <w:tcW w:w="189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lang w:val="en-US"/>
              </w:rPr>
              <w:t>0.3</w:t>
            </w:r>
          </w:p>
        </w:tc>
      </w:tr>
      <w:tr w:rsidR="00F230A4" w:rsidRPr="00397568" w:rsidTr="00CC3551">
        <w:trPr>
          <w:trHeight w:val="315"/>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243" w:type="dxa"/>
            <w:gridSpan w:val="3"/>
            <w:tcBorders>
              <w:top w:val="single" w:sz="4" w:space="0" w:color="FFFFFF"/>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r>
      <w:tr w:rsidR="00F230A4" w:rsidRPr="00397568" w:rsidTr="00CC3551">
        <w:trPr>
          <w:trHeight w:val="300"/>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tcBorders>
              <w:top w:val="single" w:sz="8" w:space="0" w:color="auto"/>
              <w:left w:val="single" w:sz="8" w:space="0" w:color="auto"/>
              <w:bottom w:val="single" w:sz="4" w:space="0" w:color="FFFFFF"/>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lang w:val="en-US"/>
              </w:rPr>
            </w:pPr>
            <w:r w:rsidRPr="00397568">
              <w:rPr>
                <w:rFonts w:ascii="Times New Roman" w:eastAsia="Times New Roman" w:hAnsi="Times New Roman" w:cs="Times New Roman"/>
                <w:i/>
                <w:iCs/>
                <w:color w:val="000000"/>
                <w:sz w:val="24"/>
                <w:szCs w:val="24"/>
                <w:lang w:val="en-US"/>
              </w:rPr>
              <w:t> </w:t>
            </w:r>
          </w:p>
        </w:tc>
        <w:tc>
          <w:tcPr>
            <w:tcW w:w="1276" w:type="dxa"/>
            <w:tcBorders>
              <w:top w:val="single" w:sz="8" w:space="0" w:color="auto"/>
              <w:left w:val="single" w:sz="8" w:space="0" w:color="auto"/>
              <w:bottom w:val="single" w:sz="4"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i/>
                <w:iCs/>
                <w:color w:val="000000"/>
                <w:sz w:val="24"/>
                <w:szCs w:val="24"/>
              </w:rPr>
              <w:t>Под</w:t>
            </w:r>
            <w:r w:rsidRPr="00397568">
              <w:rPr>
                <w:rFonts w:ascii="Times New Roman" w:hAnsi="Times New Roman" w:cs="Times New Roman"/>
                <w:i/>
                <w:sz w:val="24"/>
                <w:szCs w:val="24"/>
              </w:rPr>
              <w:t>п</w:t>
            </w:r>
            <w:r w:rsidRPr="00397568">
              <w:rPr>
                <w:rFonts w:ascii="Times New Roman" w:eastAsia="Times New Roman" w:hAnsi="Times New Roman" w:cs="Times New Roman"/>
                <w:i/>
                <w:iCs/>
                <w:color w:val="000000"/>
                <w:sz w:val="24"/>
                <w:szCs w:val="24"/>
                <w:lang w:val="en-US"/>
              </w:rPr>
              <w:t>еременн</w:t>
            </w:r>
            <w:r w:rsidRPr="00397568">
              <w:rPr>
                <w:rFonts w:ascii="Times New Roman" w:eastAsia="Times New Roman" w:hAnsi="Times New Roman" w:cs="Times New Roman"/>
                <w:i/>
                <w:iCs/>
                <w:color w:val="000000"/>
                <w:sz w:val="24"/>
                <w:szCs w:val="24"/>
              </w:rPr>
              <w:t>ые</w:t>
            </w:r>
          </w:p>
        </w:tc>
        <w:tc>
          <w:tcPr>
            <w:tcW w:w="189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i/>
                <w:iCs/>
                <w:color w:val="000000"/>
                <w:sz w:val="24"/>
                <w:szCs w:val="24"/>
              </w:rPr>
            </w:pPr>
            <w:r w:rsidRPr="00397568">
              <w:rPr>
                <w:rFonts w:ascii="Times New Roman" w:eastAsia="Times New Roman" w:hAnsi="Times New Roman" w:cs="Times New Roman"/>
                <w:i/>
                <w:iCs/>
                <w:color w:val="000000"/>
                <w:sz w:val="24"/>
                <w:szCs w:val="24"/>
              </w:rPr>
              <w:t>Вес</w:t>
            </w:r>
          </w:p>
        </w:tc>
      </w:tr>
      <w:tr w:rsidR="00F230A4" w:rsidRPr="00397568" w:rsidTr="00CC3551">
        <w:trPr>
          <w:trHeight w:val="315"/>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r w:rsidRPr="00397568">
              <w:rPr>
                <w:rFonts w:ascii="Times New Roman" w:eastAsia="Times New Roman" w:hAnsi="Times New Roman" w:cs="Times New Roman"/>
                <w:b/>
                <w:bCs/>
                <w:i/>
                <w:iCs/>
                <w:color w:val="000000"/>
                <w:sz w:val="24"/>
                <w:szCs w:val="24"/>
              </w:rPr>
              <w:t>Переменная</w:t>
            </w:r>
            <w:r w:rsidRPr="00397568">
              <w:rPr>
                <w:rFonts w:ascii="Times New Roman" w:eastAsia="Times New Roman" w:hAnsi="Times New Roman" w:cs="Times New Roman"/>
                <w:b/>
                <w:bCs/>
                <w:i/>
                <w:iCs/>
                <w:color w:val="000000"/>
                <w:sz w:val="24"/>
                <w:szCs w:val="24"/>
                <w:lang w:val="en-US"/>
              </w:rPr>
              <w:t xml:space="preserve"> 3</w:t>
            </w:r>
          </w:p>
        </w:tc>
        <w:tc>
          <w:tcPr>
            <w:tcW w:w="1276" w:type="dxa"/>
            <w:tcBorders>
              <w:top w:val="nil"/>
              <w:left w:val="nil"/>
              <w:bottom w:val="nil"/>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3.1</w:t>
            </w:r>
          </w:p>
        </w:tc>
        <w:tc>
          <w:tcPr>
            <w:tcW w:w="1896" w:type="dxa"/>
            <w:tcBorders>
              <w:top w:val="nil"/>
              <w:left w:val="single" w:sz="4" w:space="0" w:color="auto"/>
              <w:bottom w:val="nil"/>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0.3</w:t>
            </w:r>
          </w:p>
        </w:tc>
      </w:tr>
      <w:tr w:rsidR="00F230A4" w:rsidRPr="00397568" w:rsidTr="00CC3551">
        <w:trPr>
          <w:trHeight w:val="315"/>
        </w:trPr>
        <w:tc>
          <w:tcPr>
            <w:tcW w:w="1134" w:type="dxa"/>
            <w:tcBorders>
              <w:top w:val="nil"/>
              <w:left w:val="single" w:sz="4" w:space="0" w:color="FFFFFF"/>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276"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134"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488" w:type="dxa"/>
            <w:tcBorders>
              <w:top w:val="nil"/>
              <w:left w:val="nil"/>
              <w:bottom w:val="single" w:sz="4" w:space="0" w:color="FFFFFF"/>
              <w:right w:val="single" w:sz="4" w:space="0" w:color="FFFFFF"/>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color w:val="000000"/>
                <w:sz w:val="24"/>
                <w:szCs w:val="24"/>
                <w:lang w:val="en-US"/>
              </w:rPr>
            </w:pPr>
            <w:r w:rsidRPr="00397568">
              <w:rPr>
                <w:rFonts w:ascii="Times New Roman" w:eastAsia="Times New Roman" w:hAnsi="Times New Roman" w:cs="Times New Roman"/>
                <w:color w:val="000000"/>
                <w:sz w:val="24"/>
                <w:szCs w:val="24"/>
                <w:lang w:val="en-US"/>
              </w:rPr>
              <w:t> </w:t>
            </w:r>
          </w:p>
        </w:tc>
        <w:tc>
          <w:tcPr>
            <w:tcW w:w="1071" w:type="dxa"/>
            <w:vMerge/>
            <w:tcBorders>
              <w:top w:val="nil"/>
              <w:left w:val="single" w:sz="8" w:space="0" w:color="auto"/>
              <w:bottom w:val="single" w:sz="8" w:space="0" w:color="000000"/>
              <w:right w:val="single" w:sz="8" w:space="0" w:color="auto"/>
            </w:tcBorders>
            <w:vAlign w:val="center"/>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i/>
                <w:iCs/>
                <w:color w:val="000000"/>
                <w:sz w:val="24"/>
                <w:szCs w:val="24"/>
                <w:lang w:val="en-US"/>
              </w:rPr>
            </w:pPr>
          </w:p>
        </w:tc>
        <w:tc>
          <w:tcPr>
            <w:tcW w:w="1276" w:type="dxa"/>
            <w:tcBorders>
              <w:top w:val="single" w:sz="8" w:space="0" w:color="auto"/>
              <w:left w:val="single" w:sz="8" w:space="0" w:color="auto"/>
              <w:bottom w:val="single" w:sz="8" w:space="0" w:color="auto"/>
              <w:right w:val="nil"/>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Вес показателя</w:t>
            </w:r>
          </w:p>
        </w:tc>
        <w:tc>
          <w:tcPr>
            <w:tcW w:w="189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lang w:val="en-US"/>
              </w:rPr>
            </w:pPr>
            <w:r w:rsidRPr="00397568">
              <w:rPr>
                <w:rFonts w:ascii="Times New Roman" w:eastAsia="Times New Roman" w:hAnsi="Times New Roman" w:cs="Times New Roman"/>
                <w:b/>
                <w:bCs/>
                <w:color w:val="000000"/>
                <w:sz w:val="24"/>
                <w:szCs w:val="24"/>
                <w:lang w:val="en-US"/>
              </w:rPr>
              <w:t>0.3</w:t>
            </w:r>
          </w:p>
        </w:tc>
      </w:tr>
    </w:tbl>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Более высокий вес, присвоенный переменной 1, отражает несколько большее значение этого показателя для оценки степени применения правовой/нормативной/политической/ институциональной структуры, которая признает и защищает права доступа мелких рыболовов.</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Каждая подпеременная оценивается на основе ответа «да» или «нет», а любые «пустые» или «неизвестные» ответы оцениваются как «нет» или ноль. Ответ «да» приводит к оценке, которая соответствует полному весовому значению для этой категории переменных. Например, ответ «да» для переменных 1.3, 2.1 и 3.1 оценивается как 0,1, 0,03 и 0,3 соответственно.</w:t>
      </w:r>
    </w:p>
    <w:p w:rsidR="00F230A4" w:rsidRPr="00F230A4"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Одно исключение делается в случае подпеременной 1.5. Этот вопрос позволяет ответить «другим» с соответствующим текстовым полем. Положительный ответ в этом поле оценивается только как «да» в случае, когда текстовое поле также завершено, и, по крайней мере, одна из другой предыдущей подпеременной была отмечена как «нет». Это позволяет взвешиванию показателей оставаться неизменными во всех случаях.</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 xml:space="preserve">После того как конкретный балл будет определен для каждой страны, страны будут классифицированы по ряду диапазонов, начиная от низкой до высокой степени внедрения, </w:t>
      </w:r>
      <w:r w:rsidRPr="00397568">
        <w:rPr>
          <w:rFonts w:ascii="Times New Roman" w:hAnsi="Times New Roman" w:cs="Times New Roman"/>
          <w:sz w:val="24"/>
          <w:szCs w:val="24"/>
        </w:rPr>
        <w:lastRenderedPageBreak/>
        <w:t>и, таким образом, эффективно преобразуют балл в осязаемый и интуитивно понятный показатель для стран.</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Дезагрегация:</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Уровень дезагрегации является национальным уровнем. Никакие демографические характеристики не включены в показатели и, таким образом, исключаются из рассмотрения уровня дезагрегации.</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Обработка пропущенных значений:</w:t>
      </w:r>
    </w:p>
    <w:p w:rsidR="00F230A4" w:rsidRPr="006C2CA3" w:rsidRDefault="00F230A4" w:rsidP="00F230A4">
      <w:pPr>
        <w:pStyle w:val="ListParagraph"/>
        <w:numPr>
          <w:ilvl w:val="0"/>
          <w:numId w:val="11"/>
        </w:numPr>
        <w:spacing w:before="100" w:beforeAutospacing="1" w:after="100" w:afterAutospacing="1"/>
        <w:jc w:val="both"/>
        <w:rPr>
          <w:rFonts w:ascii="Times New Roman" w:hAnsi="Times New Roman" w:cs="Times New Roman"/>
          <w:b/>
          <w:color w:val="0070C0"/>
          <w:sz w:val="24"/>
          <w:szCs w:val="24"/>
          <w:lang w:val="en-US"/>
        </w:rPr>
      </w:pPr>
      <w:r w:rsidRPr="006C2CA3">
        <w:rPr>
          <w:rFonts w:ascii="Times New Roman" w:hAnsi="Times New Roman" w:cs="Times New Roman"/>
          <w:b/>
          <w:color w:val="0070C0"/>
          <w:sz w:val="24"/>
          <w:szCs w:val="24"/>
        </w:rPr>
        <w:t>На уровне страны</w:t>
      </w:r>
      <w:r w:rsidRPr="006C2CA3">
        <w:rPr>
          <w:rFonts w:ascii="Times New Roman" w:hAnsi="Times New Roman" w:cs="Times New Roman"/>
          <w:b/>
          <w:color w:val="0070C0"/>
          <w:sz w:val="24"/>
          <w:szCs w:val="24"/>
          <w:lang w:val="en-US"/>
        </w:rPr>
        <w:t>:</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Наиболее подходящей методологией для составления сметы для показателя, когда данные страны не были доступны, было бы использование консультаций экспертов и суждений, а не использование математической формулы для вменения данных. Использование экспертного заключения является критическим фактором, поскольку показатель отражает состояние управления/реализации политики на национальном уровне, а не ценности, которые могут быть легко введены.</w:t>
      </w:r>
    </w:p>
    <w:p w:rsidR="00F230A4" w:rsidRPr="006C2CA3" w:rsidRDefault="00F230A4" w:rsidP="00F230A4">
      <w:pPr>
        <w:pStyle w:val="ListParagraph"/>
        <w:numPr>
          <w:ilvl w:val="0"/>
          <w:numId w:val="11"/>
        </w:numPr>
        <w:spacing w:before="100" w:beforeAutospacing="1" w:after="100" w:afterAutospacing="1"/>
        <w:jc w:val="both"/>
        <w:rPr>
          <w:rFonts w:ascii="Times New Roman" w:hAnsi="Times New Roman" w:cs="Times New Roman"/>
          <w:b/>
          <w:color w:val="0070C0"/>
          <w:sz w:val="24"/>
          <w:szCs w:val="24"/>
        </w:rPr>
      </w:pPr>
      <w:r w:rsidRPr="006C2CA3">
        <w:rPr>
          <w:rFonts w:ascii="Times New Roman" w:hAnsi="Times New Roman" w:cs="Times New Roman"/>
          <w:b/>
          <w:color w:val="0070C0"/>
          <w:sz w:val="24"/>
          <w:szCs w:val="24"/>
        </w:rPr>
        <w:t>На региональном и глобальном уровнях:</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Не применимо.</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Региональные показатели:</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Классификация по соответствующим полосам также будет применяться в случае региональных и глобальных показателей по этому показателю. После того, как будет рассчитан средний балл по региону ЦУР, регион будет классифицирован в отдельную полосу, отражающую степень внедрения соответствующих инструментов. Данные объединяются для соответствующих стран в пределах региона как подсчет количества стран по полосам, и они могут быть дополнительно агрегированы на глобальном уровне без необходимости какого-либо взвешивания национальных или региональных баллов.</w:t>
      </w:r>
    </w:p>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F230A4"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Источники расхождений</w:t>
      </w:r>
      <w:r w:rsidRPr="00F230A4">
        <w:rPr>
          <w:rFonts w:ascii="Times New Roman" w:hAnsi="Times New Roman" w:cs="Times New Roman"/>
          <w:b/>
          <w:sz w:val="24"/>
          <w:szCs w:val="24"/>
        </w:rPr>
        <w:t>:</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 xml:space="preserve">Могут существовать различия между национальной оценкой, основанной на экспертном суждении, в случае отсутствия данных по стране, и ответом, который страна даст с помощью вопросника для самооценки. Это может произойти не только потому, что </w:t>
      </w:r>
      <w:r w:rsidRPr="00397568">
        <w:rPr>
          <w:rFonts w:ascii="Times New Roman" w:hAnsi="Times New Roman" w:cs="Times New Roman"/>
          <w:sz w:val="24"/>
          <w:szCs w:val="24"/>
        </w:rPr>
        <w:lastRenderedPageBreak/>
        <w:t>экспертное суждение представляет собой наилучшее приближение к реальности, но реальность как таковую, и/или из-за общеизвестной предвзятости самоотчетов, поддающейся проверке в этом типе исследований, что означает, что страны по тенденции сообщат о лучшей реальность, чем о настоящем положении дел.\</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Методы и руководящие указания, доступные странам для сбора данных на национальном уровне:</w:t>
      </w:r>
    </w:p>
    <w:p w:rsidR="00F230A4" w:rsidRPr="00397568" w:rsidRDefault="00F230A4" w:rsidP="00F230A4">
      <w:pPr>
        <w:pStyle w:val="ListParagraph"/>
        <w:numPr>
          <w:ilvl w:val="0"/>
          <w:numId w:val="8"/>
        </w:num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sz w:val="24"/>
          <w:szCs w:val="24"/>
        </w:rPr>
        <w:t>Данные собираются с помощью электронного вопросника, представляемого ФАО страновым координаторам для вопросника CCRF, обычно в национальной администрации по рыболовству. Данные проверяются при получении анкет. Никаких корректировок не требуется ни для данных, ни для определений, ни для классификации или демографической гармонизации.</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b/>
          <w:sz w:val="24"/>
          <w:szCs w:val="24"/>
        </w:rPr>
        <w:t>Гарантия качества</w:t>
      </w:r>
    </w:p>
    <w:p w:rsidR="00F230A4" w:rsidRPr="00397568" w:rsidRDefault="00F230A4" w:rsidP="00F230A4">
      <w:pPr>
        <w:pStyle w:val="ListParagraph"/>
        <w:spacing w:before="100" w:beforeAutospacing="1" w:after="100" w:afterAutospacing="1"/>
        <w:ind w:left="0"/>
        <w:contextualSpacing w:val="0"/>
        <w:jc w:val="both"/>
        <w:rPr>
          <w:rFonts w:ascii="Times New Roman" w:hAnsi="Times New Roman" w:cs="Times New Roman"/>
          <w:sz w:val="24"/>
          <w:szCs w:val="24"/>
        </w:rPr>
      </w:pPr>
    </w:p>
    <w:p w:rsidR="00F230A4" w:rsidRPr="00397568" w:rsidRDefault="00F230A4" w:rsidP="00F230A4">
      <w:pPr>
        <w:pStyle w:val="ListParagraph"/>
        <w:numPr>
          <w:ilvl w:val="0"/>
          <w:numId w:val="8"/>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Данные проверяются на их правильность; полнота; согласованность в процессе ввода данных и/или посредством конкретного статистического анализа, поскольку годовой набор данных закрыт.</w:t>
      </w:r>
    </w:p>
    <w:p w:rsidR="00F230A4" w:rsidRPr="00397568" w:rsidRDefault="00F230A4" w:rsidP="00F230A4">
      <w:pPr>
        <w:pStyle w:val="ListParagraph"/>
        <w:numPr>
          <w:ilvl w:val="0"/>
          <w:numId w:val="8"/>
        </w:num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Показатель основан на данных, полученных с помощью вопросника CCRF, который заполняется странами на двухгодичной основе. Для облегчения отчетности по показателям ЦУР на основе CCRF в рамках существующей онлайн-платформы для анкетирования CCRF был разработан специальный инструмент обработки данных. После отправки пользователем анкеты автоматически генерируется отчет по индикаторам для окончательной проверки страной.</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Источники данных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Описание:</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Данные основаны на ответах на три вопроса вопросника CCRF. Как правило, это обеспечивается из административных источников, как лучше всего определяется национальной администрацией рыбного хозяйства, отвечающей за ответы на вопросник CCRF. Данные основаны на наличии соответствующих законов, правил, политик, планов или стратегий и способах их реализации, с тем, чтобы с ними справлялись как законодательная, так и управленческая и другая документация для ответа на запросы.</w:t>
      </w:r>
    </w:p>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Процесс сбора:</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Вопросник CCRF представляет собой веб-систему с соответствующими инструментами обработки данных и функциями удобства использования. Данные собираются из стран-членов ФАО каждые два года, которые должны представляться на агрегированном уровне в связи с сессиями Комитета ФАО по рыболовству (COFI), как правило, в период с ноября по март, предшествующий сессии COFI. В 2016 году для 32-й сессии COFI 92 страны и Европейский союз (ЕС) ответили на раздел по мелкомасштабному рыболовству вопросника CCRF, который включает в себя три вопроса, представляющих переменные для задачи 14.b.</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Доступность данных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В 2016 году 92 страны и Евросоюза ответили на раздел вопросника по трем показателям для оценки целевых показателей для 14.b.1</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Распределение числа стран, охваченных регионом, выглядит следующим образом:</w:t>
      </w:r>
    </w:p>
    <w:tbl>
      <w:tblPr>
        <w:tblW w:w="85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146"/>
        <w:gridCol w:w="1701"/>
      </w:tblGrid>
      <w:tr w:rsidR="00F230A4" w:rsidRPr="00397568" w:rsidTr="00CC3551">
        <w:trPr>
          <w:trHeight w:val="300"/>
        </w:trPr>
        <w:tc>
          <w:tcPr>
            <w:tcW w:w="4680"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Количество стран</w:t>
            </w:r>
          </w:p>
        </w:tc>
        <w:tc>
          <w:tcPr>
            <w:tcW w:w="1701" w:type="dxa"/>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Характер данных</w:t>
            </w:r>
          </w:p>
        </w:tc>
      </w:tr>
      <w:tr w:rsidR="00F230A4" w:rsidRPr="00397568" w:rsidTr="00CC3551">
        <w:trPr>
          <w:trHeight w:val="300"/>
        </w:trPr>
        <w:tc>
          <w:tcPr>
            <w:tcW w:w="4680"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Мир</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themeColor="text1"/>
                <w:sz w:val="24"/>
                <w:szCs w:val="24"/>
              </w:rPr>
              <w:t>120</w:t>
            </w:r>
          </w:p>
        </w:tc>
        <w:tc>
          <w:tcPr>
            <w:tcW w:w="1701"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lang w:val="en-US"/>
              </w:rPr>
              <w:t xml:space="preserve">  </w:t>
            </w:r>
            <w:r w:rsidRPr="00397568">
              <w:rPr>
                <w:rFonts w:ascii="Times New Roman" w:eastAsia="Times New Roman" w:hAnsi="Times New Roman" w:cs="Times New Roman"/>
                <w:bCs/>
                <w:color w:val="000000"/>
                <w:sz w:val="24"/>
                <w:szCs w:val="24"/>
              </w:rPr>
              <w:t>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26</w:t>
            </w:r>
          </w:p>
        </w:tc>
        <w:tc>
          <w:tcPr>
            <w:tcW w:w="1701"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Северная 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1</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К югу от Сахары</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25</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Восточная 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9</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Средняя 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6</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Южная 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4</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Западная Африка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6</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Северная и Южная Америка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27</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 xml:space="preserve">    Латинская Америка и Карибский бассейн</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25</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Карибский бассейн</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9</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Латинская Америка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14</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Северная Америка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25</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Центральная 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Восточная 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Южная 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6</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Юго-Восточная 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8</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lastRenderedPageBreak/>
              <w:t xml:space="preserve">    </w:t>
            </w:r>
            <w:r w:rsidRPr="00397568">
              <w:rPr>
                <w:rFonts w:ascii="Times New Roman" w:hAnsi="Times New Roman" w:cs="Times New Roman"/>
                <w:sz w:val="24"/>
                <w:szCs w:val="24"/>
              </w:rPr>
              <w:t>Западная Азия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8</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Европа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35</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Восточная Европа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8</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Северная Европа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9</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Южная Европа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9</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Западная Европа</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9</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Океания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7</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Австралия и Новая Зеландия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Меланезия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Микронезия</w:t>
            </w:r>
          </w:p>
        </w:tc>
        <w:tc>
          <w:tcPr>
            <w:tcW w:w="2146" w:type="dxa"/>
            <w:shd w:val="clear" w:color="auto" w:fill="auto"/>
            <w:noWrap/>
            <w:vAlign w:val="bottom"/>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2</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r w:rsidR="00F230A4" w:rsidRPr="00397568" w:rsidTr="00CC3551">
        <w:trPr>
          <w:trHeight w:val="300"/>
        </w:trPr>
        <w:tc>
          <w:tcPr>
            <w:tcW w:w="4680" w:type="dxa"/>
            <w:shd w:val="clear" w:color="auto" w:fill="auto"/>
            <w:noWrap/>
            <w:hideMark/>
          </w:tcPr>
          <w:p w:rsidR="00F230A4" w:rsidRPr="00397568" w:rsidRDefault="00F230A4" w:rsidP="00CC3551">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lang w:val="en-US"/>
              </w:rPr>
              <w:t xml:space="preserve">    </w:t>
            </w:r>
            <w:r w:rsidRPr="00397568">
              <w:rPr>
                <w:rFonts w:ascii="Times New Roman" w:hAnsi="Times New Roman" w:cs="Times New Roman"/>
                <w:sz w:val="24"/>
                <w:szCs w:val="24"/>
              </w:rPr>
              <w:t>Полинезия</w:t>
            </w:r>
          </w:p>
        </w:tc>
        <w:tc>
          <w:tcPr>
            <w:tcW w:w="2146" w:type="dxa"/>
            <w:shd w:val="clear" w:color="auto" w:fill="auto"/>
            <w:noWrap/>
            <w:vAlign w:val="bottom"/>
            <w:hideMark/>
          </w:tcPr>
          <w:p w:rsidR="00F230A4" w:rsidRPr="00397568" w:rsidRDefault="00F230A4" w:rsidP="00CC3551">
            <w:pPr>
              <w:spacing w:before="100" w:beforeAutospacing="1" w:after="100" w:afterAutospacing="1"/>
              <w:jc w:val="both"/>
              <w:rPr>
                <w:rFonts w:ascii="Times New Roman" w:eastAsia="Times New Roman" w:hAnsi="Times New Roman" w:cs="Times New Roman"/>
                <w:bCs/>
                <w:color w:val="000000"/>
                <w:sz w:val="24"/>
                <w:szCs w:val="24"/>
              </w:rPr>
            </w:pPr>
            <w:r w:rsidRPr="00397568">
              <w:rPr>
                <w:rFonts w:ascii="Times New Roman" w:eastAsia="Times New Roman" w:hAnsi="Times New Roman" w:cs="Times New Roman"/>
                <w:bCs/>
                <w:color w:val="000000"/>
                <w:sz w:val="24"/>
                <w:szCs w:val="24"/>
              </w:rPr>
              <w:t>1</w:t>
            </w:r>
          </w:p>
        </w:tc>
        <w:tc>
          <w:tcPr>
            <w:tcW w:w="1701" w:type="dxa"/>
            <w:shd w:val="clear" w:color="auto" w:fill="auto"/>
            <w:noWrap/>
          </w:tcPr>
          <w:p w:rsidR="00F230A4" w:rsidRPr="00397568" w:rsidRDefault="00F230A4" w:rsidP="00CC3551">
            <w:pPr>
              <w:spacing w:before="100" w:beforeAutospacing="1" w:after="100" w:afterAutospacing="1"/>
              <w:jc w:val="both"/>
              <w:rPr>
                <w:rFonts w:ascii="Times New Roman" w:eastAsia="Times New Roman" w:hAnsi="Times New Roman" w:cs="Times New Roman"/>
                <w:b/>
                <w:bCs/>
                <w:color w:val="000000"/>
                <w:sz w:val="24"/>
                <w:szCs w:val="24"/>
              </w:rPr>
            </w:pPr>
            <w:r w:rsidRPr="00397568">
              <w:rPr>
                <w:rFonts w:ascii="Times New Roman" w:eastAsia="Times New Roman" w:hAnsi="Times New Roman" w:cs="Times New Roman"/>
                <w:b/>
                <w:bCs/>
                <w:color w:val="000000"/>
                <w:sz w:val="24"/>
                <w:szCs w:val="24"/>
              </w:rPr>
              <w:t>G</w:t>
            </w:r>
          </w:p>
        </w:tc>
      </w:tr>
    </w:tbl>
    <w:p w:rsidR="00F230A4" w:rsidRPr="00397568" w:rsidRDefault="00F230A4" w:rsidP="00F230A4">
      <w:pPr>
        <w:spacing w:before="100" w:beforeAutospacing="1" w:after="100" w:afterAutospacing="1"/>
        <w:jc w:val="both"/>
        <w:rPr>
          <w:rFonts w:ascii="Times New Roman" w:hAnsi="Times New Roman" w:cs="Times New Roman"/>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 xml:space="preserve">Временные ряды: </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2016 (базовый уровень)</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Календарь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Сбор данных:</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Следующий цикл сбора данных будет проведен и завершен к маю 2018 года.</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Выпуск данных:</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Данные будут обработаны и выпущены к июлю 2018 года.</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Поставщики данных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Данные обычно предоставляются Национальными министерствами/отделами рыбного хозяйства.</w:t>
      </w:r>
    </w:p>
    <w:p w:rsidR="00F230A4"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lastRenderedPageBreak/>
        <w:t>Составители данных</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ФАО</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Ссылки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lang w:val="en-US"/>
        </w:rPr>
        <w:t>URL</w:t>
      </w:r>
      <w:r w:rsidRPr="00397568">
        <w:rPr>
          <w:rFonts w:ascii="Times New Roman" w:hAnsi="Times New Roman" w:cs="Times New Roman"/>
          <w:b/>
          <w:sz w:val="24"/>
          <w:szCs w:val="24"/>
        </w:rPr>
        <w:t xml:space="preserve">: </w:t>
      </w:r>
    </w:p>
    <w:p w:rsidR="00F230A4" w:rsidRPr="00397568" w:rsidRDefault="00F230A4" w:rsidP="00F230A4">
      <w:pPr>
        <w:pStyle w:val="ListParagraph"/>
        <w:numPr>
          <w:ilvl w:val="0"/>
          <w:numId w:val="5"/>
        </w:numPr>
        <w:spacing w:before="100" w:beforeAutospacing="1" w:after="100" w:afterAutospacing="1"/>
        <w:ind w:left="0" w:firstLine="0"/>
        <w:contextualSpacing w:val="0"/>
        <w:jc w:val="both"/>
        <w:rPr>
          <w:rFonts w:ascii="Times New Roman" w:hAnsi="Times New Roman" w:cs="Times New Roman"/>
          <w:sz w:val="24"/>
          <w:szCs w:val="24"/>
          <w:lang w:val="en-US"/>
        </w:rPr>
      </w:pPr>
      <w:r w:rsidRPr="00397568">
        <w:rPr>
          <w:rFonts w:ascii="Times New Roman" w:hAnsi="Times New Roman" w:cs="Times New Roman"/>
          <w:sz w:val="24"/>
          <w:szCs w:val="24"/>
          <w:lang w:val="en-US"/>
        </w:rPr>
        <w:t xml:space="preserve">SDG 14.b </w:t>
      </w:r>
      <w:hyperlink r:id="rId8" w:history="1">
        <w:r w:rsidRPr="00397568">
          <w:rPr>
            <w:rStyle w:val="Hyperlink"/>
            <w:rFonts w:ascii="Times New Roman" w:hAnsi="Times New Roman" w:cs="Times New Roman"/>
            <w:sz w:val="24"/>
            <w:szCs w:val="24"/>
            <w:lang w:val="en-US"/>
          </w:rPr>
          <w:t>http://www.fao.org/sustainable-development-goals/indicators/14.b.1/en/</w:t>
        </w:r>
      </w:hyperlink>
      <w:r w:rsidRPr="00397568">
        <w:rPr>
          <w:rFonts w:ascii="Times New Roman" w:hAnsi="Times New Roman" w:cs="Times New Roman"/>
          <w:sz w:val="24"/>
          <w:szCs w:val="24"/>
          <w:lang w:val="en-US"/>
        </w:rPr>
        <w:t xml:space="preserve"> </w:t>
      </w:r>
    </w:p>
    <w:p w:rsidR="00F230A4" w:rsidRPr="00397568" w:rsidRDefault="00F230A4" w:rsidP="00F230A4">
      <w:pPr>
        <w:pStyle w:val="ListParagraph"/>
        <w:numPr>
          <w:ilvl w:val="0"/>
          <w:numId w:val="5"/>
        </w:numPr>
        <w:spacing w:before="100" w:beforeAutospacing="1" w:after="100" w:afterAutospacing="1"/>
        <w:ind w:left="0" w:firstLine="0"/>
        <w:contextualSpacing w:val="0"/>
        <w:jc w:val="both"/>
        <w:rPr>
          <w:rFonts w:ascii="Times New Roman" w:hAnsi="Times New Roman" w:cs="Times New Roman"/>
          <w:sz w:val="24"/>
          <w:szCs w:val="24"/>
          <w:lang w:val="en-US"/>
        </w:rPr>
      </w:pPr>
      <w:r w:rsidRPr="00397568">
        <w:rPr>
          <w:rFonts w:ascii="Times New Roman" w:hAnsi="Times New Roman" w:cs="Times New Roman"/>
          <w:sz w:val="24"/>
          <w:szCs w:val="24"/>
          <w:lang w:val="en-US"/>
        </w:rPr>
        <w:t>e-learning course on SDG indicator 14.b.1: http://www.fao.org/elearning/#/elc/en/course/SDG14B1</w:t>
      </w:r>
    </w:p>
    <w:p w:rsidR="00F230A4" w:rsidRPr="00397568" w:rsidRDefault="00F230A4" w:rsidP="00F230A4">
      <w:pPr>
        <w:spacing w:before="100" w:beforeAutospacing="1" w:after="100" w:afterAutospacing="1"/>
        <w:jc w:val="both"/>
        <w:rPr>
          <w:rFonts w:ascii="Times New Roman" w:hAnsi="Times New Roman" w:cs="Times New Roman"/>
          <w:b/>
          <w:sz w:val="24"/>
          <w:szCs w:val="24"/>
        </w:rPr>
      </w:pPr>
      <w:r w:rsidRPr="00397568">
        <w:rPr>
          <w:rFonts w:ascii="Times New Roman" w:hAnsi="Times New Roman" w:cs="Times New Roman"/>
          <w:b/>
          <w:sz w:val="24"/>
          <w:szCs w:val="24"/>
        </w:rPr>
        <w:t>Ссылки:</w:t>
      </w: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32-я сессия Комитета ФАО по рыболовству - соответствующие документы:</w:t>
      </w:r>
    </w:p>
    <w:p w:rsidR="00F230A4" w:rsidRPr="00397568" w:rsidRDefault="00F230A4" w:rsidP="00F230A4">
      <w:pPr>
        <w:pStyle w:val="ListParagraph"/>
        <w:numPr>
          <w:ilvl w:val="0"/>
          <w:numId w:val="5"/>
        </w:numPr>
        <w:spacing w:before="100" w:beforeAutospacing="1" w:after="100" w:afterAutospacing="1"/>
        <w:ind w:left="0" w:firstLine="0"/>
        <w:contextualSpacing w:val="0"/>
        <w:jc w:val="both"/>
        <w:rPr>
          <w:rFonts w:ascii="Times New Roman" w:hAnsi="Times New Roman" w:cs="Times New Roman"/>
          <w:sz w:val="24"/>
          <w:szCs w:val="24"/>
        </w:rPr>
      </w:pPr>
      <w:r w:rsidRPr="00397568">
        <w:rPr>
          <w:rFonts w:ascii="Times New Roman" w:hAnsi="Times New Roman" w:cs="Times New Roman"/>
          <w:sz w:val="24"/>
          <w:szCs w:val="24"/>
        </w:rPr>
        <w:t>http://www.fao.org/3/a-mq663e.pdf</w:t>
      </w:r>
    </w:p>
    <w:p w:rsidR="00F230A4" w:rsidRPr="00397568" w:rsidRDefault="00F230A4" w:rsidP="00F230A4">
      <w:pPr>
        <w:pStyle w:val="ListParagraph"/>
        <w:numPr>
          <w:ilvl w:val="0"/>
          <w:numId w:val="5"/>
        </w:numPr>
        <w:spacing w:before="100" w:beforeAutospacing="1" w:after="100" w:afterAutospacing="1"/>
        <w:ind w:left="0" w:firstLine="0"/>
        <w:contextualSpacing w:val="0"/>
        <w:jc w:val="both"/>
        <w:rPr>
          <w:rFonts w:ascii="Times New Roman" w:hAnsi="Times New Roman" w:cs="Times New Roman"/>
          <w:sz w:val="24"/>
          <w:szCs w:val="24"/>
        </w:rPr>
      </w:pPr>
      <w:r w:rsidRPr="00397568">
        <w:rPr>
          <w:rFonts w:ascii="Times New Roman" w:hAnsi="Times New Roman" w:cs="Times New Roman"/>
          <w:sz w:val="24"/>
          <w:szCs w:val="24"/>
        </w:rPr>
        <w:t>http://www.fao.org/3/a-mq873e.pdf</w:t>
      </w:r>
    </w:p>
    <w:p w:rsidR="00F230A4" w:rsidRPr="00397568" w:rsidRDefault="00F230A4" w:rsidP="00F230A4">
      <w:pPr>
        <w:pStyle w:val="ListParagraph"/>
        <w:numPr>
          <w:ilvl w:val="0"/>
          <w:numId w:val="5"/>
        </w:numPr>
        <w:spacing w:before="100" w:beforeAutospacing="1" w:after="100" w:afterAutospacing="1"/>
        <w:ind w:left="0" w:firstLine="0"/>
        <w:contextualSpacing w:val="0"/>
        <w:jc w:val="both"/>
        <w:rPr>
          <w:rFonts w:ascii="Times New Roman" w:hAnsi="Times New Roman" w:cs="Times New Roman"/>
          <w:sz w:val="24"/>
          <w:szCs w:val="24"/>
        </w:rPr>
      </w:pPr>
      <w:hyperlink r:id="rId9" w:history="1">
        <w:r w:rsidRPr="00397568">
          <w:rPr>
            <w:rStyle w:val="Hyperlink"/>
            <w:rFonts w:ascii="Times New Roman" w:hAnsi="Times New Roman" w:cs="Times New Roman"/>
            <w:sz w:val="24"/>
            <w:szCs w:val="24"/>
          </w:rPr>
          <w:t>http://www.fao.org/3/a-bo076e.pdf</w:t>
        </w:r>
      </w:hyperlink>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2A6775" w:rsidRDefault="00F230A4" w:rsidP="00F230A4">
      <w:pPr>
        <w:pBdr>
          <w:bottom w:val="single" w:sz="12" w:space="4" w:color="DDDDDD"/>
        </w:pBdr>
        <w:spacing w:before="100" w:beforeAutospacing="1" w:after="100" w:afterAutospacing="1"/>
        <w:jc w:val="both"/>
        <w:rPr>
          <w:rFonts w:ascii="Times New Roman" w:hAnsi="Times New Roman" w:cs="Times New Roman"/>
          <w:color w:val="0070C0"/>
          <w:sz w:val="24"/>
          <w:szCs w:val="24"/>
        </w:rPr>
      </w:pPr>
      <w:r w:rsidRPr="002A6775">
        <w:rPr>
          <w:rFonts w:ascii="Times New Roman" w:hAnsi="Times New Roman" w:cs="Times New Roman"/>
          <w:b/>
          <w:color w:val="0070C0"/>
          <w:sz w:val="24"/>
          <w:szCs w:val="24"/>
        </w:rPr>
        <w:t xml:space="preserve">Связанные показатели </w:t>
      </w:r>
    </w:p>
    <w:p w:rsidR="00F230A4" w:rsidRPr="002A6775" w:rsidRDefault="00F230A4" w:rsidP="00F230A4">
      <w:pPr>
        <w:spacing w:before="100" w:beforeAutospacing="1" w:after="100" w:afterAutospacing="1"/>
        <w:jc w:val="both"/>
        <w:rPr>
          <w:rFonts w:ascii="Times New Roman" w:hAnsi="Times New Roman" w:cs="Times New Roman"/>
          <w:b/>
          <w:color w:val="0070C0"/>
          <w:sz w:val="24"/>
          <w:szCs w:val="24"/>
        </w:rPr>
      </w:pPr>
    </w:p>
    <w:p w:rsidR="00F230A4" w:rsidRPr="00397568" w:rsidRDefault="00F230A4" w:rsidP="00F230A4">
      <w:pPr>
        <w:spacing w:before="100" w:beforeAutospacing="1" w:after="100" w:afterAutospacing="1"/>
        <w:jc w:val="both"/>
        <w:rPr>
          <w:rFonts w:ascii="Times New Roman" w:hAnsi="Times New Roman" w:cs="Times New Roman"/>
          <w:sz w:val="24"/>
          <w:szCs w:val="24"/>
        </w:rPr>
      </w:pPr>
      <w:r w:rsidRPr="00397568">
        <w:rPr>
          <w:rFonts w:ascii="Times New Roman" w:hAnsi="Times New Roman" w:cs="Times New Roman"/>
          <w:sz w:val="24"/>
          <w:szCs w:val="24"/>
        </w:rPr>
        <w:t>Связи с любыми другими целями и задачами: ЦУР 1, ЦУР 2 (в частности, 2.3), ЦУР 5, ЦУР 12, ЦУР 13, ЦУР 14.2 / 4/5/6/7</w:t>
      </w:r>
    </w:p>
    <w:p w:rsidR="00D26F78" w:rsidRPr="00F230A4" w:rsidRDefault="00D26F78" w:rsidP="00F230A4">
      <w:bookmarkStart w:id="0" w:name="_GoBack"/>
      <w:bookmarkEnd w:id="0"/>
    </w:p>
    <w:sectPr w:rsidR="00D26F78" w:rsidRPr="00F230A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489" w:rsidRDefault="000F1489" w:rsidP="00B478CC">
      <w:pPr>
        <w:spacing w:after="0" w:line="240" w:lineRule="auto"/>
      </w:pPr>
      <w:r>
        <w:separator/>
      </w:r>
    </w:p>
  </w:endnote>
  <w:endnote w:type="continuationSeparator" w:id="0">
    <w:p w:rsidR="000F1489" w:rsidRDefault="000F1489" w:rsidP="00B4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489" w:rsidRDefault="000F1489" w:rsidP="00B478CC">
      <w:pPr>
        <w:spacing w:after="0" w:line="240" w:lineRule="auto"/>
      </w:pPr>
      <w:r>
        <w:separator/>
      </w:r>
    </w:p>
  </w:footnote>
  <w:footnote w:type="continuationSeparator" w:id="0">
    <w:p w:rsidR="000F1489" w:rsidRDefault="000F1489" w:rsidP="00B4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CC" w:rsidRPr="00B478CC" w:rsidRDefault="00B478CC" w:rsidP="00B478CC">
    <w:pPr>
      <w:pStyle w:val="Header"/>
      <w:jc w:val="right"/>
      <w:rPr>
        <w:rFonts w:ascii="Times New Roman" w:hAnsi="Times New Roman" w:cs="Times New Roman"/>
        <w:i/>
        <w:sz w:val="24"/>
        <w:szCs w:val="24"/>
      </w:rPr>
    </w:pPr>
    <w:r w:rsidRPr="00B478CC">
      <w:rPr>
        <w:rFonts w:ascii="Times New Roman" w:hAnsi="Times New Roman" w:cs="Times New Roman"/>
        <w:i/>
        <w:sz w:val="24"/>
        <w:szCs w:val="24"/>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671F"/>
    <w:multiLevelType w:val="hybridMultilevel"/>
    <w:tmpl w:val="3B6C0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4B22BE"/>
    <w:multiLevelType w:val="hybridMultilevel"/>
    <w:tmpl w:val="BEA2FF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7C5309"/>
    <w:multiLevelType w:val="hybridMultilevel"/>
    <w:tmpl w:val="6DFE2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6113B2"/>
    <w:multiLevelType w:val="hybridMultilevel"/>
    <w:tmpl w:val="A7002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684F39"/>
    <w:multiLevelType w:val="hybridMultilevel"/>
    <w:tmpl w:val="4B7075D2"/>
    <w:lvl w:ilvl="0" w:tplc="95A4475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1A4950"/>
    <w:multiLevelType w:val="hybridMultilevel"/>
    <w:tmpl w:val="0324F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CC71F7"/>
    <w:multiLevelType w:val="hybridMultilevel"/>
    <w:tmpl w:val="CE68F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FC1E55"/>
    <w:multiLevelType w:val="hybridMultilevel"/>
    <w:tmpl w:val="1DE8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5F40EA"/>
    <w:multiLevelType w:val="hybridMultilevel"/>
    <w:tmpl w:val="30A6C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11616F"/>
    <w:multiLevelType w:val="hybridMultilevel"/>
    <w:tmpl w:val="6318F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6839E6"/>
    <w:multiLevelType w:val="hybridMultilevel"/>
    <w:tmpl w:val="F424C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9"/>
  </w:num>
  <w:num w:numId="5">
    <w:abstractNumId w:val="7"/>
  </w:num>
  <w:num w:numId="6">
    <w:abstractNumId w:val="8"/>
  </w:num>
  <w:num w:numId="7">
    <w:abstractNumId w:val="10"/>
  </w:num>
  <w:num w:numId="8">
    <w:abstractNumId w:val="5"/>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134"/>
    <w:rsid w:val="000B7134"/>
    <w:rsid w:val="000D08D0"/>
    <w:rsid w:val="000F1489"/>
    <w:rsid w:val="00102559"/>
    <w:rsid w:val="002D1CDA"/>
    <w:rsid w:val="002D4FF6"/>
    <w:rsid w:val="00397568"/>
    <w:rsid w:val="003C4529"/>
    <w:rsid w:val="00590D0C"/>
    <w:rsid w:val="005E16C1"/>
    <w:rsid w:val="006C2CA3"/>
    <w:rsid w:val="006C4AB6"/>
    <w:rsid w:val="006C6EB4"/>
    <w:rsid w:val="00703B25"/>
    <w:rsid w:val="00755D19"/>
    <w:rsid w:val="007563B2"/>
    <w:rsid w:val="00822041"/>
    <w:rsid w:val="00A34C85"/>
    <w:rsid w:val="00AE1B7B"/>
    <w:rsid w:val="00AE5A4B"/>
    <w:rsid w:val="00B478CC"/>
    <w:rsid w:val="00B50EB3"/>
    <w:rsid w:val="00BF2DF2"/>
    <w:rsid w:val="00D070A7"/>
    <w:rsid w:val="00D26F78"/>
    <w:rsid w:val="00DE557E"/>
    <w:rsid w:val="00E35318"/>
    <w:rsid w:val="00E86F37"/>
    <w:rsid w:val="00F230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134EE-D0A5-4847-A3C4-E34AFC7A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DF2"/>
    <w:pPr>
      <w:ind w:left="720"/>
      <w:contextualSpacing/>
    </w:pPr>
  </w:style>
  <w:style w:type="character" w:styleId="Hyperlink">
    <w:name w:val="Hyperlink"/>
    <w:basedOn w:val="DefaultParagraphFont"/>
    <w:uiPriority w:val="99"/>
    <w:unhideWhenUsed/>
    <w:rsid w:val="00BF2DF2"/>
    <w:rPr>
      <w:color w:val="0000FF" w:themeColor="hyperlink"/>
      <w:u w:val="single"/>
    </w:rPr>
  </w:style>
  <w:style w:type="table" w:customStyle="1" w:styleId="GridTable4-Accent21">
    <w:name w:val="Grid Table 4 - Accent 21"/>
    <w:basedOn w:val="TableNormal"/>
    <w:uiPriority w:val="49"/>
    <w:rsid w:val="002D4FF6"/>
    <w:pPr>
      <w:spacing w:after="0" w:line="240" w:lineRule="auto"/>
    </w:pPr>
    <w:rPr>
      <w:rFonts w:eastAsiaTheme="minorEastAsia"/>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uiPriority w:val="1"/>
    <w:qFormat/>
    <w:rsid w:val="00E35318"/>
    <w:pPr>
      <w:widowControl w:val="0"/>
      <w:autoSpaceDE w:val="0"/>
      <w:autoSpaceDN w:val="0"/>
      <w:adjustRightInd w:val="0"/>
      <w:spacing w:before="64" w:after="0" w:line="240" w:lineRule="auto"/>
      <w:ind w:left="845"/>
    </w:pPr>
    <w:rPr>
      <w:rFonts w:ascii="Arial" w:eastAsiaTheme="minorEastAsia" w:hAnsi="Arial" w:cs="Arial"/>
      <w:sz w:val="19"/>
      <w:szCs w:val="19"/>
      <w:lang w:val="en-GB" w:eastAsia="en-GB"/>
    </w:rPr>
  </w:style>
  <w:style w:type="character" w:customStyle="1" w:styleId="BodyTextChar">
    <w:name w:val="Body Text Char"/>
    <w:basedOn w:val="DefaultParagraphFont"/>
    <w:link w:val="BodyText"/>
    <w:uiPriority w:val="1"/>
    <w:rsid w:val="00E35318"/>
    <w:rPr>
      <w:rFonts w:ascii="Arial" w:eastAsiaTheme="minorEastAsia" w:hAnsi="Arial" w:cs="Arial"/>
      <w:sz w:val="19"/>
      <w:szCs w:val="19"/>
      <w:lang w:val="en-GB" w:eastAsia="en-GB"/>
    </w:rPr>
  </w:style>
  <w:style w:type="table" w:styleId="TableGrid">
    <w:name w:val="Table Grid"/>
    <w:basedOn w:val="TableNormal"/>
    <w:uiPriority w:val="59"/>
    <w:rsid w:val="00D07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070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B478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B478CC"/>
  </w:style>
  <w:style w:type="paragraph" w:styleId="Footer">
    <w:name w:val="footer"/>
    <w:basedOn w:val="Normal"/>
    <w:link w:val="FooterChar"/>
    <w:uiPriority w:val="99"/>
    <w:unhideWhenUsed/>
    <w:rsid w:val="00B478CC"/>
    <w:pPr>
      <w:tabs>
        <w:tab w:val="center" w:pos="4677"/>
        <w:tab w:val="right" w:pos="9355"/>
      </w:tabs>
      <w:spacing w:after="0" w:line="240" w:lineRule="auto"/>
    </w:pPr>
  </w:style>
  <w:style w:type="character" w:customStyle="1" w:styleId="FooterChar">
    <w:name w:val="Footer Char"/>
    <w:basedOn w:val="DefaultParagraphFont"/>
    <w:link w:val="Footer"/>
    <w:uiPriority w:val="99"/>
    <w:rsid w:val="00B4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65902">
      <w:bodyDiv w:val="1"/>
      <w:marLeft w:val="0"/>
      <w:marRight w:val="0"/>
      <w:marTop w:val="0"/>
      <w:marBottom w:val="0"/>
      <w:divBdr>
        <w:top w:val="none" w:sz="0" w:space="0" w:color="auto"/>
        <w:left w:val="none" w:sz="0" w:space="0" w:color="auto"/>
        <w:bottom w:val="none" w:sz="0" w:space="0" w:color="auto"/>
        <w:right w:val="none" w:sz="0" w:space="0" w:color="auto"/>
      </w:divBdr>
      <w:divsChild>
        <w:div w:id="752361899">
          <w:marLeft w:val="0"/>
          <w:marRight w:val="0"/>
          <w:marTop w:val="0"/>
          <w:marBottom w:val="0"/>
          <w:divBdr>
            <w:top w:val="none" w:sz="0" w:space="0" w:color="auto"/>
            <w:left w:val="none" w:sz="0" w:space="0" w:color="auto"/>
            <w:bottom w:val="none" w:sz="0" w:space="0" w:color="auto"/>
            <w:right w:val="none" w:sz="0" w:space="0" w:color="auto"/>
          </w:divBdr>
          <w:divsChild>
            <w:div w:id="1237781819">
              <w:marLeft w:val="0"/>
              <w:marRight w:val="0"/>
              <w:marTop w:val="0"/>
              <w:marBottom w:val="0"/>
              <w:divBdr>
                <w:top w:val="none" w:sz="0" w:space="0" w:color="auto"/>
                <w:left w:val="none" w:sz="0" w:space="0" w:color="auto"/>
                <w:bottom w:val="none" w:sz="0" w:space="0" w:color="auto"/>
                <w:right w:val="none" w:sz="0" w:space="0" w:color="auto"/>
              </w:divBdr>
              <w:divsChild>
                <w:div w:id="2023703612">
                  <w:marLeft w:val="0"/>
                  <w:marRight w:val="0"/>
                  <w:marTop w:val="0"/>
                  <w:marBottom w:val="0"/>
                  <w:divBdr>
                    <w:top w:val="none" w:sz="0" w:space="0" w:color="auto"/>
                    <w:left w:val="none" w:sz="0" w:space="0" w:color="auto"/>
                    <w:bottom w:val="none" w:sz="0" w:space="0" w:color="auto"/>
                    <w:right w:val="none" w:sz="0" w:space="0" w:color="auto"/>
                  </w:divBdr>
                  <w:divsChild>
                    <w:div w:id="1499422139">
                      <w:marLeft w:val="0"/>
                      <w:marRight w:val="0"/>
                      <w:marTop w:val="0"/>
                      <w:marBottom w:val="0"/>
                      <w:divBdr>
                        <w:top w:val="none" w:sz="0" w:space="0" w:color="auto"/>
                        <w:left w:val="none" w:sz="0" w:space="0" w:color="auto"/>
                        <w:bottom w:val="none" w:sz="0" w:space="0" w:color="auto"/>
                        <w:right w:val="none" w:sz="0" w:space="0" w:color="auto"/>
                      </w:divBdr>
                      <w:divsChild>
                        <w:div w:id="121387131">
                          <w:marLeft w:val="0"/>
                          <w:marRight w:val="0"/>
                          <w:marTop w:val="0"/>
                          <w:marBottom w:val="0"/>
                          <w:divBdr>
                            <w:top w:val="none" w:sz="0" w:space="0" w:color="auto"/>
                            <w:left w:val="none" w:sz="0" w:space="0" w:color="auto"/>
                            <w:bottom w:val="none" w:sz="0" w:space="0" w:color="auto"/>
                            <w:right w:val="none" w:sz="0" w:space="0" w:color="auto"/>
                          </w:divBdr>
                          <w:divsChild>
                            <w:div w:id="1696494487">
                              <w:marLeft w:val="0"/>
                              <w:marRight w:val="300"/>
                              <w:marTop w:val="180"/>
                              <w:marBottom w:val="0"/>
                              <w:divBdr>
                                <w:top w:val="none" w:sz="0" w:space="0" w:color="auto"/>
                                <w:left w:val="none" w:sz="0" w:space="0" w:color="auto"/>
                                <w:bottom w:val="none" w:sz="0" w:space="0" w:color="auto"/>
                                <w:right w:val="none" w:sz="0" w:space="0" w:color="auto"/>
                              </w:divBdr>
                              <w:divsChild>
                                <w:div w:id="12415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924262">
          <w:marLeft w:val="0"/>
          <w:marRight w:val="0"/>
          <w:marTop w:val="0"/>
          <w:marBottom w:val="0"/>
          <w:divBdr>
            <w:top w:val="none" w:sz="0" w:space="0" w:color="auto"/>
            <w:left w:val="none" w:sz="0" w:space="0" w:color="auto"/>
            <w:bottom w:val="none" w:sz="0" w:space="0" w:color="auto"/>
            <w:right w:val="none" w:sz="0" w:space="0" w:color="auto"/>
          </w:divBdr>
          <w:divsChild>
            <w:div w:id="683097285">
              <w:marLeft w:val="0"/>
              <w:marRight w:val="0"/>
              <w:marTop w:val="0"/>
              <w:marBottom w:val="0"/>
              <w:divBdr>
                <w:top w:val="none" w:sz="0" w:space="0" w:color="auto"/>
                <w:left w:val="none" w:sz="0" w:space="0" w:color="auto"/>
                <w:bottom w:val="none" w:sz="0" w:space="0" w:color="auto"/>
                <w:right w:val="none" w:sz="0" w:space="0" w:color="auto"/>
              </w:divBdr>
              <w:divsChild>
                <w:div w:id="2039160732">
                  <w:marLeft w:val="0"/>
                  <w:marRight w:val="0"/>
                  <w:marTop w:val="0"/>
                  <w:marBottom w:val="0"/>
                  <w:divBdr>
                    <w:top w:val="none" w:sz="0" w:space="0" w:color="auto"/>
                    <w:left w:val="none" w:sz="0" w:space="0" w:color="auto"/>
                    <w:bottom w:val="none" w:sz="0" w:space="0" w:color="auto"/>
                    <w:right w:val="none" w:sz="0" w:space="0" w:color="auto"/>
                  </w:divBdr>
                  <w:divsChild>
                    <w:div w:id="1872378620">
                      <w:marLeft w:val="0"/>
                      <w:marRight w:val="0"/>
                      <w:marTop w:val="0"/>
                      <w:marBottom w:val="0"/>
                      <w:divBdr>
                        <w:top w:val="none" w:sz="0" w:space="0" w:color="auto"/>
                        <w:left w:val="none" w:sz="0" w:space="0" w:color="auto"/>
                        <w:bottom w:val="none" w:sz="0" w:space="0" w:color="auto"/>
                        <w:right w:val="none" w:sz="0" w:space="0" w:color="auto"/>
                      </w:divBdr>
                      <w:divsChild>
                        <w:div w:id="768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sustainable-development-goals/indicators/14.b.1/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3/a-bo076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6069-28A1-0244-BF36-D5860110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9</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БойкоТатьяна Евгеньевна</dc:creator>
  <cp:keywords/>
  <dc:description/>
  <cp:lastModifiedBy>Microsoft Office User</cp:lastModifiedBy>
  <cp:revision>11</cp:revision>
  <dcterms:created xsi:type="dcterms:W3CDTF">2018-05-10T14:34:00Z</dcterms:created>
  <dcterms:modified xsi:type="dcterms:W3CDTF">2021-08-19T17:11:00Z</dcterms:modified>
</cp:coreProperties>
</file>