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731" w:rsidRPr="00BB54F4" w:rsidRDefault="00A84731" w:rsidP="00A84731">
      <w:pPr>
        <w:jc w:val="both"/>
        <w:rPr>
          <w:rFonts w:ascii="Times New Roman" w:hAnsi="Times New Roman" w:cs="Times New Roman"/>
          <w:b/>
          <w:sz w:val="24"/>
          <w:szCs w:val="24"/>
          <w:lang w:val="ru-RU"/>
        </w:rPr>
      </w:pPr>
      <w:r w:rsidRPr="00BB54F4">
        <w:rPr>
          <w:rFonts w:ascii="Times New Roman" w:eastAsia="Times New Roman" w:hAnsi="Times New Roman" w:cs="Times New Roman"/>
          <w:b/>
          <w:sz w:val="24"/>
          <w:szCs w:val="24"/>
          <w:lang w:val="ru-RU"/>
        </w:rPr>
        <w:t>Цель 14. Сохранение и рациональное использование океанов, морей и морских ресурсов в интересах устойчивого развития</w:t>
      </w:r>
      <w:r w:rsidRPr="00BB54F4">
        <w:rPr>
          <w:rFonts w:ascii="Times New Roman" w:hAnsi="Times New Roman" w:cs="Times New Roman"/>
          <w:b/>
          <w:sz w:val="24"/>
          <w:szCs w:val="24"/>
          <w:lang w:val="ru-RU"/>
        </w:rPr>
        <w:t xml:space="preserve"> </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14.5  К 2020 году охватить природоохранными мерами по крайней мере 10 процентов прибрежных и морских районов в соответствии с национальным законодательством и международным правом и на основе наилучшей имеющейся научной информации</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14.5.1 Доля охраняемых морских районов </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Институциональная информация</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Организация(и):</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Всемирный центр мониторинга охраны окружающей среды ЮНЕП (ЮНЕП-ВЦМООС)</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rPr>
        <w:t>BirdLife</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International</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BLI</w:t>
      </w:r>
      <w:r w:rsidRPr="00BB54F4">
        <w:rPr>
          <w:rFonts w:ascii="Times New Roman" w:hAnsi="Times New Roman" w:cs="Times New Roman"/>
          <w:sz w:val="24"/>
          <w:szCs w:val="24"/>
          <w:lang w:val="ru-RU"/>
        </w:rPr>
        <w:t>) - международная организация по защите птиц и сохранению их среды обитания.</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Международный союз охраны природы (МСОП)</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Концепция и определения</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Определение:</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Показатель «Охват охраняемых районов по отношению к общей площади морских районов» показывает временные тенденции в процентной доле важных объектов морского биоразнообразия (т.е. тех, которые вносят существенный вклад в сохранение биоразнообразия), которые полностью покрываются определенными охраняемыми районами.</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Обоснование:</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Сохранение важных объектов крайне необходимо для предотвращения спада биоразнообразия и обеспечения условий для долгосрочного и устойчивого использования морских природных ресурсов. Создание охраняемых районов является важным механизмом достижения этой цели, и этот показатель служит средством измерения прогресса в сохранении, восстановлении и создании условий для устойчивого использования морских экосистем и предоставления услуг на морской территории в соответствии с обязательствами по международным соглашениям. Важно отметить, что, несмотря на то, что этот показатель может быть дезагрегирован под одну экосистему, представляющую интерес, он не ограничивается каким-либо определенными типом экосистемы.</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Уровни доступа к охраняемым районам различаются между категориями управления охраняемыми районами. Некоторые области, такие как научные заповедники, </w:t>
      </w:r>
      <w:r w:rsidRPr="00BB54F4">
        <w:rPr>
          <w:rFonts w:ascii="Times New Roman" w:hAnsi="Times New Roman" w:cs="Times New Roman"/>
          <w:sz w:val="24"/>
          <w:szCs w:val="24"/>
          <w:lang w:val="ru-RU"/>
        </w:rPr>
        <w:lastRenderedPageBreak/>
        <w:t>сохраняются в их естественном состоянии и закрыты для любого другого использования. Остальные используются для отдыха или туризма или даже открыты для устойчивого извлечения природных ресурсов.</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Помимо защиты биоразнообразия, охраняемые районы имеют высокую социальную и экономическую ценность. К ним относится создание источников средств существования для местных жителей; поддержка рыболовства; сохранение богатства генетических ресурсов; поддержка процветания индустрии отдыха и туризма; сохранение экосистем для научных целей, исследований и образования и формирование основы для культурных и других нематериальных ценностей.</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Этот индикатор вносит значимую информацию, дополняет и строит традиционно простую статистику морских районов, охваченных охраняемыми районами. Он рассчитывается путем деления площади охраняемой территории внутри страны на общую площадь страны и умножения на 100 (например, </w:t>
      </w:r>
      <w:r w:rsidRPr="00BB54F4">
        <w:rPr>
          <w:rFonts w:ascii="Times New Roman" w:hAnsi="Times New Roman" w:cs="Times New Roman"/>
          <w:sz w:val="24"/>
          <w:szCs w:val="24"/>
        </w:rPr>
        <w:t>Chape</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et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al</w:t>
      </w:r>
      <w:r w:rsidRPr="00BB54F4">
        <w:rPr>
          <w:rFonts w:ascii="Times New Roman" w:hAnsi="Times New Roman" w:cs="Times New Roman"/>
          <w:sz w:val="24"/>
          <w:szCs w:val="24"/>
          <w:lang w:val="ru-RU"/>
        </w:rPr>
        <w:t>. 2005). Такие статистические данные о процентной площади не отражают экстремальных вариаций биоразнообразия в пространстве (</w:t>
      </w:r>
      <w:r w:rsidRPr="00BB54F4">
        <w:rPr>
          <w:rFonts w:ascii="Times New Roman" w:hAnsi="Times New Roman" w:cs="Times New Roman"/>
          <w:sz w:val="24"/>
          <w:szCs w:val="24"/>
        </w:rPr>
        <w:t>Rodrigues</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et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al</w:t>
      </w:r>
      <w:r w:rsidRPr="00BB54F4">
        <w:rPr>
          <w:rFonts w:ascii="Times New Roman" w:hAnsi="Times New Roman" w:cs="Times New Roman"/>
          <w:sz w:val="24"/>
          <w:szCs w:val="24"/>
          <w:lang w:val="ru-RU"/>
        </w:rPr>
        <w:t>., 2004), и, таким образом возникает риск получения обратных результатов за счет охраны природы в больших районах вместо тех, которые требуют защиты.</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Этот показатель используется для отслеживания прогресса по «Стратегическому плану биоразнообразия» на 2011-2020 годы (</w:t>
      </w:r>
      <w:r w:rsidRPr="00BB54F4">
        <w:rPr>
          <w:rFonts w:ascii="Times New Roman" w:hAnsi="Times New Roman" w:cs="Times New Roman"/>
          <w:sz w:val="24"/>
          <w:szCs w:val="24"/>
        </w:rPr>
        <w:t>CBD</w:t>
      </w:r>
      <w:r w:rsidRPr="00BB54F4">
        <w:rPr>
          <w:rFonts w:ascii="Times New Roman" w:hAnsi="Times New Roman" w:cs="Times New Roman"/>
          <w:sz w:val="24"/>
          <w:szCs w:val="24"/>
          <w:lang w:val="ru-RU"/>
        </w:rPr>
        <w:t xml:space="preserve"> 2014, </w:t>
      </w:r>
      <w:r w:rsidRPr="00BB54F4">
        <w:rPr>
          <w:rFonts w:ascii="Times New Roman" w:hAnsi="Times New Roman" w:cs="Times New Roman"/>
          <w:sz w:val="24"/>
          <w:szCs w:val="24"/>
        </w:rPr>
        <w:t>Tittensor</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et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al</w:t>
      </w:r>
      <w:r w:rsidRPr="00BB54F4">
        <w:rPr>
          <w:rFonts w:ascii="Times New Roman" w:hAnsi="Times New Roman" w:cs="Times New Roman"/>
          <w:sz w:val="24"/>
          <w:szCs w:val="24"/>
          <w:lang w:val="ru-RU"/>
        </w:rPr>
        <w:t>. 2014) и был использован в качестве показателя для определения целей Конвенции о биологическом разнообразии на 2010 год (</w:t>
      </w:r>
      <w:r w:rsidRPr="00BB54F4">
        <w:rPr>
          <w:rFonts w:ascii="Times New Roman" w:hAnsi="Times New Roman" w:cs="Times New Roman"/>
          <w:sz w:val="24"/>
          <w:szCs w:val="24"/>
        </w:rPr>
        <w:t>Butchart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et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al</w:t>
      </w:r>
      <w:r w:rsidRPr="00BB54F4">
        <w:rPr>
          <w:rFonts w:ascii="Times New Roman" w:hAnsi="Times New Roman" w:cs="Times New Roman"/>
          <w:sz w:val="24"/>
          <w:szCs w:val="24"/>
          <w:lang w:val="ru-RU"/>
        </w:rPr>
        <w:t>., 2010).</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Концепция:</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Охраняемые районы, по определению Международного союза охраны природы (IUCN; </w:t>
      </w:r>
      <w:r w:rsidRPr="00BB54F4">
        <w:rPr>
          <w:rFonts w:ascii="Times New Roman" w:hAnsi="Times New Roman" w:cs="Times New Roman"/>
          <w:sz w:val="24"/>
          <w:szCs w:val="24"/>
        </w:rPr>
        <w:t>Dudley</w:t>
      </w:r>
      <w:r w:rsidRPr="00BB54F4">
        <w:rPr>
          <w:rFonts w:ascii="Times New Roman" w:hAnsi="Times New Roman" w:cs="Times New Roman"/>
          <w:sz w:val="24"/>
          <w:szCs w:val="24"/>
          <w:lang w:val="ru-RU"/>
        </w:rPr>
        <w:t xml:space="preserve"> 2008) – это четко определенные географические пространства, признанные и управляемые посредством юридических или иных эффективных средств для достижения долгосрочного сохранения природы с соответствующими природными ресурсами и культурными ценностями. Важно отметить, что в рамках этого определения, охватывающего сохранение, восстановление и устойчивое использование выделяются следующие типы специализированных управляемых объектов (охраняемых зон):</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 Категория </w:t>
      </w:r>
      <w:r w:rsidRPr="00BB54F4">
        <w:rPr>
          <w:rFonts w:ascii="Times New Roman" w:hAnsi="Times New Roman" w:cs="Times New Roman"/>
          <w:sz w:val="24"/>
          <w:szCs w:val="24"/>
        </w:rPr>
        <w:t>Ia</w:t>
      </w:r>
      <w:r w:rsidRPr="00BB54F4">
        <w:rPr>
          <w:rFonts w:ascii="Times New Roman" w:hAnsi="Times New Roman" w:cs="Times New Roman"/>
          <w:sz w:val="24"/>
          <w:szCs w:val="24"/>
          <w:lang w:val="ru-RU"/>
        </w:rPr>
        <w:t>: Полный заповедник</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 Категория </w:t>
      </w:r>
      <w:r w:rsidRPr="00BB54F4">
        <w:rPr>
          <w:rFonts w:ascii="Times New Roman" w:hAnsi="Times New Roman" w:cs="Times New Roman"/>
          <w:sz w:val="24"/>
          <w:szCs w:val="24"/>
        </w:rPr>
        <w:t>Ib</w:t>
      </w:r>
      <w:r w:rsidRPr="00BB54F4">
        <w:rPr>
          <w:rFonts w:ascii="Times New Roman" w:hAnsi="Times New Roman" w:cs="Times New Roman"/>
          <w:sz w:val="24"/>
          <w:szCs w:val="24"/>
          <w:lang w:val="ru-RU"/>
        </w:rPr>
        <w:t>: Природный заповедник (местность, нетронутая деятельностью человека)</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 Категория </w:t>
      </w:r>
      <w:r w:rsidRPr="00BB54F4">
        <w:rPr>
          <w:rFonts w:ascii="Times New Roman" w:hAnsi="Times New Roman" w:cs="Times New Roman"/>
          <w:sz w:val="24"/>
          <w:szCs w:val="24"/>
        </w:rPr>
        <w:t>II</w:t>
      </w:r>
      <w:r w:rsidRPr="00BB54F4">
        <w:rPr>
          <w:rFonts w:ascii="Times New Roman" w:hAnsi="Times New Roman" w:cs="Times New Roman"/>
          <w:sz w:val="24"/>
          <w:szCs w:val="24"/>
          <w:lang w:val="ru-RU"/>
        </w:rPr>
        <w:t>: Национальный парк</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 Категория </w:t>
      </w:r>
      <w:r w:rsidRPr="00BB54F4">
        <w:rPr>
          <w:rFonts w:ascii="Times New Roman" w:hAnsi="Times New Roman" w:cs="Times New Roman"/>
          <w:sz w:val="24"/>
          <w:szCs w:val="24"/>
        </w:rPr>
        <w:t>III</w:t>
      </w:r>
      <w:r w:rsidRPr="00BB54F4">
        <w:rPr>
          <w:rFonts w:ascii="Times New Roman" w:hAnsi="Times New Roman" w:cs="Times New Roman"/>
          <w:sz w:val="24"/>
          <w:szCs w:val="24"/>
          <w:lang w:val="ru-RU"/>
        </w:rPr>
        <w:t>: Памятник природы или особенный природный объект</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 Категория </w:t>
      </w:r>
      <w:r w:rsidRPr="00BB54F4">
        <w:rPr>
          <w:rFonts w:ascii="Times New Roman" w:hAnsi="Times New Roman" w:cs="Times New Roman"/>
          <w:sz w:val="24"/>
          <w:szCs w:val="24"/>
        </w:rPr>
        <w:t>IV</w:t>
      </w:r>
      <w:r w:rsidRPr="00BB54F4">
        <w:rPr>
          <w:rFonts w:ascii="Times New Roman" w:hAnsi="Times New Roman" w:cs="Times New Roman"/>
          <w:sz w:val="24"/>
          <w:szCs w:val="24"/>
          <w:lang w:val="ru-RU"/>
        </w:rPr>
        <w:t>: Область управления местами обитания / видами (охрана угодий)</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lastRenderedPageBreak/>
        <w:t xml:space="preserve">- Категория </w:t>
      </w:r>
      <w:r w:rsidRPr="00BB54F4">
        <w:rPr>
          <w:rFonts w:ascii="Times New Roman" w:hAnsi="Times New Roman" w:cs="Times New Roman"/>
          <w:sz w:val="24"/>
          <w:szCs w:val="24"/>
        </w:rPr>
        <w:t>V</w:t>
      </w:r>
      <w:r w:rsidRPr="00BB54F4">
        <w:rPr>
          <w:rFonts w:ascii="Times New Roman" w:hAnsi="Times New Roman" w:cs="Times New Roman"/>
          <w:sz w:val="24"/>
          <w:szCs w:val="24"/>
          <w:lang w:val="ru-RU"/>
        </w:rPr>
        <w:t>: Охраняемый ландшафт / морской ландшафт</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 Категория </w:t>
      </w:r>
      <w:r w:rsidRPr="00BB54F4">
        <w:rPr>
          <w:rFonts w:ascii="Times New Roman" w:hAnsi="Times New Roman" w:cs="Times New Roman"/>
          <w:sz w:val="24"/>
          <w:szCs w:val="24"/>
        </w:rPr>
        <w:t>VI</w:t>
      </w:r>
      <w:r w:rsidRPr="00BB54F4">
        <w:rPr>
          <w:rFonts w:ascii="Times New Roman" w:hAnsi="Times New Roman" w:cs="Times New Roman"/>
          <w:sz w:val="24"/>
          <w:szCs w:val="24"/>
          <w:lang w:val="ru-RU"/>
        </w:rPr>
        <w:t>: Охраняемая территория с устойчивым использованием природных ресурсов</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Статус «назначенный» (действующий) присваивается охраняемой области, когда соответствующий орган в соответствии с национальным законодательством или общей практикой (например, посредством исполнительного декрета и т. п.), официально одобряет документ о назначении. Назначение должно быть проведено для целей сохранения биоразнообразия, а не с целью фактической охраны определенных участков, для проведения иных действий (например, военных).</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Участки, вносящие значительный вклад в глобальное сохранение биоразнообразия, определяются в глобальном масштабе Стандартных критериев для определения ключевых районов биоразнообразия (МСОП-2016), применяемых на национальном уровне.</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На сегодняшний день во всех странах применяются два варианта стандартных критериев. Первый – для выявления важных районов распространения птиц и биоразнообразия, то есть участков, вносящих существенный вклад в сохранение биоразнообразия на глобальном уровне, выявленное с использованием данных о птицах; более 12 000 участков было отобрано из всех стран мира (</w:t>
      </w:r>
      <w:r w:rsidRPr="00BB54F4">
        <w:rPr>
          <w:rFonts w:ascii="Times New Roman" w:hAnsi="Times New Roman" w:cs="Times New Roman"/>
          <w:sz w:val="24"/>
          <w:szCs w:val="24"/>
        </w:rPr>
        <w:t>BirdLife</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International</w:t>
      </w:r>
      <w:r w:rsidRPr="00BB54F4">
        <w:rPr>
          <w:rFonts w:ascii="Times New Roman" w:hAnsi="Times New Roman" w:cs="Times New Roman"/>
          <w:sz w:val="24"/>
          <w:szCs w:val="24"/>
          <w:lang w:val="ru-RU"/>
        </w:rPr>
        <w:t xml:space="preserve"> 2014). Второй – для идентификации участков «Альянса нулевого уровня исчезновения» (</w:t>
      </w:r>
      <w:r w:rsidRPr="00BB54F4">
        <w:rPr>
          <w:rFonts w:ascii="Times New Roman" w:hAnsi="Times New Roman" w:cs="Times New Roman"/>
          <w:sz w:val="24"/>
          <w:szCs w:val="24"/>
        </w:rPr>
        <w:t>Ricketts</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et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al</w:t>
      </w:r>
      <w:r w:rsidRPr="00BB54F4">
        <w:rPr>
          <w:rFonts w:ascii="Times New Roman" w:hAnsi="Times New Roman" w:cs="Times New Roman"/>
          <w:sz w:val="24"/>
          <w:szCs w:val="24"/>
          <w:lang w:val="ru-RU"/>
        </w:rPr>
        <w:t>., 2005), то есть участков, где обитает целая популяция, по крайней мере, одного вида, оцененного как находящийся под угрозой исчезновения или находящийся под угрозой исчезновения в Красной книге угрожаемых видов МСОП. Всего было идентифицировано 587 участков «Альянса нулевого уровня исчезновения» для 920 видов млекопитающих, птиц, амфибий, рептилий, хвойных и рифообразующих кораллов. Глобальный стандарт для выявления ключевых областей биоразнообразия, объединяющих эти подходы наряду с иными механизмами идентификации важных областей для других видов и экосистем, был утвержден МСОП (2016 г).</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Комментарии и ограничения:</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Критерии контроля качества применяются для обеспечения согласованности и сопоставимости данных во всемирной базе данных по охраняемым районам. Новые данные проверяются в ЮНЕП-ВЦМООС с помощью ряда инструментов и переводятся в стандартную структуру данных Всемирной базы данных по охраняемым районам. Расхождения между данными во Всемирной базе данных по охраняемым районам и новыми данными сводятся к минимуму с помощью специального руководства (ЮНЕП-ВЦМООС-2016) и разрешаются путем договоренности с поставщиками данных. Аналогичные процессы применяются для включения данных во Всемирную базу данных ключевых областей биоразнообразия.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lastRenderedPageBreak/>
        <w:t xml:space="preserve">Показатель не измеряет эффективность охраняемых районов в отношении сокращения потери биоразнообразия, которая в конечном итоге зависит от факторов, не охваченных индикатором, таких как эффективность управления и качество исполнения. В настоящее время существует ряд инициатив, направленных на устранение этого ограничения. В частности, были разработаны многочисленные механизмы оценки эффективности управления охраняемыми районами, которые могут быть синтезированы в один показатель (Leverington et al., 2010). Это используется Партнерством по индикаторам биоразнообразия как дополнительный индикатор прогресса в достижении Айтинской Цели 11 в области сохранения и устойчивого использования биоразнообразия (http://www.bipindicators.net/pamanagement). Однако не исключено, что связь между этими мерами и конечным состоянием охраняемых районов незначительна (Nolte&amp;Agrawal 2013). В последнее время стали разрабатываться подходы к «зеленому листингу» с целью включения в анализ, как эффективности управления, так и конечного состояния охраняемых районов, и они, вероятно, станут приобретать все более важное значение по мере их тестирования и применения в более широком плане.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Пробелы в данных и знаниях могут возникнуть из-за трудностей с определением того, соответствует ли участок определению охраняемой зоны МСОП, а некоторым охраняемым районам не предписаны категории управления. Кроме того, «другие эффективные меры по охране природы на местах», как указано в Айтинской  Цели 11 Стратегического плана по сохранению биоразнообразия, допускает, что некоторые участки, не входящие в официальную сеть охраняемых районов и не использующиеся, главным образом, для охраны природы, тем не менее, могут считаться охраняемой зоной, если они используются с целью сохранения биоразнообразия (</w:t>
      </w:r>
      <w:r w:rsidRPr="00BB54F4">
        <w:rPr>
          <w:rFonts w:ascii="Times New Roman" w:hAnsi="Times New Roman" w:cs="Times New Roman"/>
          <w:sz w:val="24"/>
          <w:szCs w:val="24"/>
        </w:rPr>
        <w:t>Jonas</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et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all</w:t>
      </w:r>
      <w:r w:rsidRPr="00BB54F4">
        <w:rPr>
          <w:rFonts w:ascii="Times New Roman" w:hAnsi="Times New Roman" w:cs="Times New Roman"/>
          <w:sz w:val="24"/>
          <w:szCs w:val="24"/>
          <w:lang w:val="ru-RU"/>
        </w:rPr>
        <w:t xml:space="preserve">., 2014). Однако стандартные подходы к документированию «иных эффективных мер по охране природы на местах» до сих пор находятся в зачаточном состоянии. Поскольку они консолидированы, «иные эффективные меры по охране природы на местах» будут включены во Всемирную базу данных по охраняемым районам и, соответственно, по этому показателю.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Что касается важных участков, самым большим ограничением является то, что на сегодняшний день идентификация участков сосредоточена на конкретных подмножествах биоразнообразия, например птиц (для важных районов обитания птиц и биоразнообразия) и видов с высокой степенью угрозы вымирания (для районов «Альянса нулевого уровня исчезновения»). В то время как IBA (ключевая орнитологические территории) были отмечены как хорошие идентификаторы для важных объектов по сохранению биоразнообразия в более общем плане (Brooks et al., 2001, Pain et al., 2005), применение единого стандарта для идентификации «Ключевых зон биоразнообразия» (МСОП 2016) на разных уровнях биоразнообразия (гены, виды, экосистемы) и различных таксономических групп по-прежнему являются первоочередной задачей (Eken et al., 2004, Knight et al., 2007, Langhammer et al., 2007, Foster et al., 2012).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lastRenderedPageBreak/>
        <w:t xml:space="preserve">Идентификация «Ключевых зон биоразнообразия» (КЗБ) была введена для ряда стран и регионов, где всеобъемлющие данные о биоразнообразии позволяют формально оценивать важность участка (или его «незаменимость») с использованием систематических методов планирования охраны природы (DiMarco et al., 2016, MontesinoPouzols et Al. 2014).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Будущие разработки индикатора будут включать: a) расширение таксономического охвата морских КЗБ путем применения стандарта ключевых зон биоразнообразия (МСОП2016) для широкого круга морских позвоночных, беспозвоночных, растений и типов экосистем; </w:t>
      </w:r>
      <w:r w:rsidRPr="00BB54F4">
        <w:rPr>
          <w:rFonts w:ascii="Times New Roman" w:hAnsi="Times New Roman" w:cs="Times New Roman"/>
          <w:sz w:val="24"/>
          <w:szCs w:val="24"/>
        </w:rPr>
        <w:t>b</w:t>
      </w:r>
      <w:r w:rsidRPr="00BB54F4">
        <w:rPr>
          <w:rFonts w:ascii="Times New Roman" w:hAnsi="Times New Roman" w:cs="Times New Roman"/>
          <w:sz w:val="24"/>
          <w:szCs w:val="24"/>
          <w:lang w:val="ru-RU"/>
        </w:rPr>
        <w:t>) улучшение данных по охраняемым районам путем продолжения увеличения доли участков с задокументированными датами назначения и оцифрованными пограничными многоугольниками (а не координатами); и c) изучение других методов оценки и представления временных тенденций в охраняемых районах.</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Методология</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Метод расчета: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Этот показатель рассчитывается на основании данных, полученных в результате пространственного перекрытия между цифровыми многоугольниками для охраняемых районов из Всемирной базы данных об охраняемых районах (МСОП и ЮНЕП-ВЦМООС-2015) и цифровых многоугольников для морских ключевых зон биоразнообразия (из Всемирной базы данных Ключевых зон биоразнообразия, включая важные районы обитания птиц и биоразнообразия, участки «Альянс нулевого уровня вымирания» и другие ключевые зоны биоразнообразия, доступные через Комплексный инструмент оценки биоразнообразия по адресу https://www.ibat-alliance.org/ibatconservation/login). Все морские ключевые зоны биоразнообразия, более 98%  территории которых перекрывается одной или несколькими охраняемыми районами, были определены как полностью охраняемые (для учета ошибок разрешения и оцифровки в пространственном массиве данных, лежащем в основе). Значение показателя в данный момент времени, основанное на данных о году создания охраняемой территории, зарегистрированное во Всемирной базе данных по охраняемым районам, затем рассчитывается путем деления общего числа КЗБ, полностью охваченных охраняемыми районами, на общее число КЗБ в каждой стране и умножения на 100.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Год создания охраняемой территории не определён для 12% охраняемых районов во Всемирной базе данных по охраняемым районам, что создает неясность в отношении изменения покрытия охраняемых районов с течением времени. Чтобы отразить эту неопределенность, год был случайным образом взят по другому охраняемому району в той же стране, и затем эта процедура повторялась 1000 раз, с медианным графиком (Butchart et al., 2012, 2015).</w:t>
      </w:r>
    </w:p>
    <w:p w:rsidR="00A84731" w:rsidRPr="00BB54F4" w:rsidRDefault="00A84731" w:rsidP="00A84731">
      <w:pPr>
        <w:jc w:val="both"/>
        <w:rPr>
          <w:rFonts w:ascii="Times New Roman" w:hAnsi="Times New Roman" w:cs="Times New Roman"/>
          <w:b/>
          <w:sz w:val="24"/>
          <w:szCs w:val="24"/>
          <w:lang w:val="ru-RU"/>
        </w:rPr>
      </w:pPr>
      <w:r>
        <w:rPr>
          <w:rFonts w:ascii="Times New Roman" w:hAnsi="Times New Roman" w:cs="Times New Roman"/>
          <w:b/>
          <w:sz w:val="24"/>
          <w:szCs w:val="24"/>
          <w:lang w:val="ru-RU"/>
        </w:rPr>
        <w:t>Дезагрегация</w:t>
      </w:r>
      <w:r w:rsidRPr="00BB54F4">
        <w:rPr>
          <w:rFonts w:ascii="Times New Roman" w:hAnsi="Times New Roman" w:cs="Times New Roman"/>
          <w:b/>
          <w:sz w:val="24"/>
          <w:szCs w:val="24"/>
          <w:lang w:val="ru-RU"/>
        </w:rPr>
        <w:t xml:space="preserve">: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lastRenderedPageBreak/>
        <w:t xml:space="preserve">Учитывая, что данные для глобального индикатора компилируются на национальном уровне, их можно дезагрегировать на национальный и региональный уровень (например, Han </w:t>
      </w:r>
      <w:r w:rsidRPr="00BB54F4">
        <w:rPr>
          <w:rFonts w:ascii="Times New Roman" w:hAnsi="Times New Roman" w:cs="Times New Roman"/>
          <w:sz w:val="24"/>
          <w:szCs w:val="24"/>
        </w:rPr>
        <w:t>et</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al</w:t>
      </w:r>
      <w:r w:rsidRPr="00BB54F4">
        <w:rPr>
          <w:rFonts w:ascii="Times New Roman" w:hAnsi="Times New Roman" w:cs="Times New Roman"/>
          <w:sz w:val="24"/>
          <w:szCs w:val="24"/>
          <w:lang w:val="ru-RU"/>
        </w:rPr>
        <w:t xml:space="preserve">. 2014) или, наоборот, агрегировать на глобальный уровень. Ключевые зоны биоразнообразия охватывают все типы экосистем морской среды (Edgar et al. 2008) и за ее пределами. Поэтому индикатор может быть представлен в совокупности по всем морским (а также наземным и пресноводным) системам, или по каждой из них в отдельности. Однако отдельные ключевые зоны биоразнообразия могут одновременно охватывать морские, наземные и пресноводные системы, поэтому метод вычисления не являются просто аддитивным. Наконец, показатель можно дезагрегировать в соответствии с различными категориями управления охраняемыми районами (категории I-VI), чтобы отразить различные конкретные задачи управления охраняемыми районами.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Помимо агрегирования охвата охраняемых районов на важных участках морского биоразнообразия в качестве показателя по отношению к ЦУР 14.5, другие дезагрегированные данные по охвату охраняемых районов, которые имеют особое значение в качестве показателей для достижения ЦУР, включают: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ЦУР 6.6 Покрытие охраняемыми районами важных объектов для пресноводного биоразнообразия.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ЦУР 15.1 Доля важных участков для наземного и пресноводного биоразнообразия, охваченных охраняемыми районами, по типу экосистем.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ЦУР 15.4 Покрытие охраняемыми районами важных объектов биоразнообразия горных районов.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Данные об охвате охраняемых районов могут комбинироваться с другими источниками данных для получения дополнительных показателей. Например, наложение охраняемых районов на экорегиональных картах может использоваться для предоставления информации об охвате охраняемых районов в различных широких биогеографических регионах. Охват охраняемых районов с распределением различных групп видов (например, млекопитающих, птиц) может аналогичным образом являться индикатором тенденций в охвате биоразнообразия на уровне видов. Охват охраняемых районов может сочетаться с Индексом красной книги для получения показателей воздействия охраняемых районов в целях сокращения утраты биоразнообразия (Butchart et al., 2012). Наконец, индикаторы, полученные в результате наложения охраняемых природных зон, могут также способствовать устойчивому развитию городов; например, наложение охраняемых районов на городские карты могло бы стать основой для показателя общественного пространства как доли от общего городского пространства.</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Обработка отсутствующих значений: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На страновом уровне</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lastRenderedPageBreak/>
        <w:t xml:space="preserve">Данные доступны для охраняемых районов и ключевых зон биоразнообразия во всех странах мира, поэтому не требуется вычисление или оценка данных на национальном уровне.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На региональном и глобальном уровне</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Глобальные показатели охвата охраняемыми районами важных объектов биоразнообразия рассчитываются как процентная доля всех ключевых зон биоразнообразия, которые полностью покрываются охраняемыми районами. Данные генерируются на основе данных обо всех странах, поэтому, несмотря на неопределенность в отношении данных, нет никаких пропущенных значений как таковых, и поэтому нет необходимости в вычислении или оценке данных.</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Региональные агрегированные показатели: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ЮНЕП-ВЦМООС является органом, отвечающим за расчет и представление глобальных и региональных данных по этому показателю, работая с BirdLife International и МСОП для объединения данных по охраняемым районам с теми, которые важны для сохранения биоразнообразия. ЮНЕП-ВЦМООС объединяет глобальные и региональные данные по охраняемым районам с национальными данными, которые рассчитываются из Всемирной базы данных по охраняемым районам и распространяются через базу «Охраняемая планета»</w:t>
      </w:r>
      <w:r w:rsidRPr="00BB54F4">
        <w:rPr>
          <w:rFonts w:ascii="Times New Roman" w:hAnsi="Times New Roman" w:cs="Times New Roman"/>
          <w:i/>
          <w:sz w:val="24"/>
          <w:szCs w:val="24"/>
          <w:lang w:val="ru-RU"/>
        </w:rPr>
        <w:t>.</w:t>
      </w:r>
      <w:r w:rsidRPr="00BB54F4">
        <w:rPr>
          <w:rFonts w:ascii="Times New Roman" w:hAnsi="Times New Roman" w:cs="Times New Roman"/>
          <w:sz w:val="24"/>
          <w:szCs w:val="24"/>
          <w:lang w:val="ru-RU"/>
        </w:rPr>
        <w:t xml:space="preserve"> Всемирная база данных по охраняемым районам и база «Охраняемая планета» совместно управляется ЮНЕП-ВЦМООС и МСОП и Всемирной комиссией по охраняемым районам. Всемирная база данных об охраняемых районах хранится в Географической информационной системе, которая хранит информацию об охраняемых районах, таких как название, размер, тип, дата создания, географическое положение (точка) и / или граница (многоугольник). Охват охраняемой территории рассчитывается с использованием всех охраняемых районов, зарегистрированных во Всемирной базе данных по охраняемым районам, местоположение и масштабы которых известны. Охраняемые области без цифровых границ исключаются из индикатора.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Важные районы обитания птиц и биоразнообразия являются объектами международного значения для сохранения биоразнообразия, идентифицированные с использованием данных о птицах. Важные ареалы обитания птиц и биоразнообразия определяются с использованием стандартизированного набора критериев и пороговых значений, определяемых данными, в отношении видов, находящихся под угрозой исчезновения и стайных видов. Важные ареалы обитания птиц и биоразнообразия разделены таким образом, чтобы они, насколько это возможно: (а) различались по своему характеру, месту обитания или орнитологической важности от окружающих районов; (</w:t>
      </w:r>
      <w:r w:rsidRPr="00BB54F4">
        <w:rPr>
          <w:rFonts w:ascii="Times New Roman" w:hAnsi="Times New Roman" w:cs="Times New Roman"/>
          <w:sz w:val="24"/>
          <w:szCs w:val="24"/>
        </w:rPr>
        <w:t>b</w:t>
      </w:r>
      <w:r w:rsidRPr="00BB54F4">
        <w:rPr>
          <w:rFonts w:ascii="Times New Roman" w:hAnsi="Times New Roman" w:cs="Times New Roman"/>
          <w:sz w:val="24"/>
          <w:szCs w:val="24"/>
          <w:lang w:val="ru-RU"/>
        </w:rPr>
        <w:t xml:space="preserve">) обеспечивали требования триггерных видов (то есть тех, для которых данная область соответствует важнейшим критериям), при их наличии, отдельно или в сочетании с другими объектами и (c) использовались или могли каким-то образом использоваться для охраны природы.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lastRenderedPageBreak/>
        <w:t xml:space="preserve">Участки Альянса нулевого уровня вымирания отвечают трем критериям: нахождение под угрозой (поддерживающая, по крайней мере, один вид, находящийся под угрозой исчезновения или находящийся под угрозой исчезновения, как указано в Красной книге МСОП); незаменимость (удерживание единственной или исключительно значимой (= 95%) известной популяции целевого вида, по крайней мере, для одного сегмента жизненного цикла); и дискретности (с определяемой границей, в которой характер местообитаний, биологических сообществ и / или проблем управления имеют больше общего друг с другом, чем с теми, которые находятся в смежных областях). Следовательно, участки Альянса нулевого уровня вымирания представляют собой места, в которых исчезновение видов неизбежно, если только они не будут надлежащим образом защищены (т.е. не будут иметь статуса охраняемой зоны или устойчиво использоваться в соответствии с целью сохранения популяций целевых видов).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Важные районы обитания птиц и биоразнообразия и районы «Альянса нулевого уровня вымирания» по определению представляют собой области, имеющие особую важность для биоразнообразия, обозначенные в Айтинской Цели 11 по сохранению биоразнообразия, и представляют собой единственные области таких объектов, которые систематически идентифицированы по всему миру. Следовательно, они представляют собой важные области, которые следует рассматривать в качестве официальных охраняемых районов.</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Источники расхождений: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Национальные процессы обеспечивают большую часть данных, которые затем агрегируются как во Всемирной базе данных по охраняемым районам, так и во Всемирной базе данных ключевых зон биоразнообразия, и поэтому различия между национальными и глобальными показателями минимальны. Одним из незначительных источников расхождений является то, что Всемирная база данных по охраняемым районам включает в себя охраняемые районы, расположенные на международном уровне (например, объекты всемирного наследия, Рамсарские угодья и т. д.), некоторые из которых не считаются охраняемыми районами в их суверенных государствах.</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Источники данных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Данные охраняемых районов составляются министерствами окружающей среды и другими министерствами, ответственными за назначение и содержание охраняемых районов. Данные охраняемых районов для участков, обозначенных в соответствии с Рамсарской конвенцией и Конвенцией о всемирном наследии ЮНЕСКО, собираются через соответствующие секретариаты соответствующих конвенций. Данные охраняемых районов агрегируются глобально в Мировой базе данных по охраняемым районам Всемирным центром мониторинга охраны окружающей среды ЮНЕП в соответствии с мандатом на подготовку Перечня охраняемых районов Организации Объединенных </w:t>
      </w:r>
      <w:r w:rsidRPr="00BB54F4">
        <w:rPr>
          <w:rFonts w:ascii="Times New Roman" w:hAnsi="Times New Roman" w:cs="Times New Roman"/>
          <w:sz w:val="24"/>
          <w:szCs w:val="24"/>
          <w:lang w:val="ru-RU"/>
        </w:rPr>
        <w:lastRenderedPageBreak/>
        <w:t>Наций (Deguignet et al., 2014). Они распространяются через базу «Охраняемая планета» http://www.protectedplanet.net/, который совместно управляется ЮНЕП-ВЦМООС и МСОП и его Всемирной комиссией по охраняемым районам (Juffe-Bignoli et al., 2014).</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Ключевые области биоразнообразия определены в национальных масштабах с участием многих заинтересованных сторон, посредством следования стандартным критериям и пороговым значениям. Данные о ключевых аспектах биоразнообразия объединены во Всемирную базу данных по ключевым областям биоразнообразия, которой управляет BirdLife International. В частности, данные по важным районам птиц и биоразнообразия доступны в Интернете по адресу: </w:t>
      </w:r>
      <w:hyperlink r:id="rId4" w:history="1">
        <w:r w:rsidRPr="00BB54F4">
          <w:rPr>
            <w:rStyle w:val="Hyperlink"/>
            <w:rFonts w:ascii="Times New Roman" w:hAnsi="Times New Roman" w:cs="Times New Roman"/>
            <w:color w:val="auto"/>
            <w:sz w:val="24"/>
            <w:szCs w:val="24"/>
            <w:lang w:val="ru-RU"/>
          </w:rPr>
          <w:t>http://www.birdlife.org/datazone/site/search</w:t>
        </w:r>
      </w:hyperlink>
      <w:r w:rsidRPr="00BB54F4">
        <w:rPr>
          <w:rFonts w:ascii="Times New Roman" w:hAnsi="Times New Roman" w:cs="Times New Roman"/>
          <w:sz w:val="24"/>
          <w:szCs w:val="24"/>
          <w:lang w:val="ru-RU"/>
        </w:rPr>
        <w:t xml:space="preserve">  (BirdLife International 2016), а данные по сайтам «Альянса нулевого уровня вымирания» доступны в Интернете по адресу  http://www.zeroextinction.org/ (AZE 2010) . Оба набора данных, а также ключевые области биоразнообразия, определенные другими процессами, и Всемирная база данных по охраняемым районам, также распространяются через Комплексный инструмент оценки биоразнообразия для планирования исследований и сохранения, доступный в Интернете по адресу </w:t>
      </w:r>
      <w:hyperlink r:id="rId5" w:history="1">
        <w:r w:rsidRPr="00BB54F4">
          <w:rPr>
            <w:rStyle w:val="Hyperlink"/>
            <w:rFonts w:ascii="Times New Roman" w:hAnsi="Times New Roman" w:cs="Times New Roman"/>
            <w:color w:val="auto"/>
            <w:sz w:val="24"/>
            <w:szCs w:val="24"/>
            <w:lang w:val="ru-RU"/>
          </w:rPr>
          <w:t>https://www.ibat-alliance.org/ibat-conservation/login</w:t>
        </w:r>
      </w:hyperlink>
      <w:r w:rsidRPr="00BB54F4">
        <w:rPr>
          <w:rFonts w:ascii="Times New Roman" w:hAnsi="Times New Roman" w:cs="Times New Roman"/>
          <w:sz w:val="24"/>
          <w:szCs w:val="24"/>
          <w:lang w:val="ru-RU"/>
        </w:rPr>
        <w:t>.</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Доступность данных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Описание: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Этот показатель был классифицирован Межведомственной экспертной группой по индикаторам ЦУР как уровень 1. Текущие данные доступны для всех стран мира, и они обновляются на постоянной основе.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Временной ряд: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150 лет</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Календарь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Сбор данных:</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ЮНЕП-ВЦМООС приводит список охраняемых районов ООН каждые 5-10 лет на основе информации, представленной национальными министерствами/ведомствами. В промежуточный период между публикацией сборников-списков ООН ЮНЕП-ВЦМООС тесно сотрудничает с национальными министерствами/ведомствами и НПО (неправительственные организации), ответственными за назначение и поддержание охраняемых районов, постоянно обновляя Всемирную базу данных по охраняемым районам по мере поступления новых данных. Всемирная база данных ключевых областей биоразнообразия также обновляется на постоянной основе, поскольку предоставляются новые национальные данные.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lastRenderedPageBreak/>
        <w:t xml:space="preserve">Выпуск данных: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Ожидается, что показатель охвата охраняемыми районами важных объектов для биоразнообразия будет выпускаться ежегодно.</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Поставщики данных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Данные охраняемых районов составляются министерствами окружающей среды и другими министерствами, ответственными за назначение и содержание охраняемых районов. Ключевые области биоразнообразия определены в национальных масштабах посредством процессов с участием многих заинтересованных сторон, с учетом следования стандартным критериям и пороговым значениям. </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 xml:space="preserve">Составители данных </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Наименование: ЮНЕП-ВЦМООС и МСОП</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Описание:</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 xml:space="preserve">Данные охраняемых районов агрегируются глобально в Мировой базе данных по охраняемым районам Всемирным центром мониторинга охраны окружающей среды ЮНЕП в соответствии с мандатом на подготовку Перечня охраняемых районов Организации Объединенных Наций (Deguignet et al., 2014). Они распространяются через базу «Охраняемая планета» http://www.protectedplanet.net/, который совместно управляется ЮНЕП-ВЦМООС и МСОП и его Всемирной комиссией по охраняемым районам (Juffe-Bignoli et al., 2014). Данные о ключевых аспектах биоразнообразия объединены во Всемирную базу данных по ключевым областям биоразнообразия, которой управляет BirdLife International. В частности, данные по важным районам птиц и биоразнообразия доступны в Интернете по адресу: http://www.birdlife.org/datazone/site/search (BirdLife International 2016), а данные по сайтам «Альянса нулевого уровня вымирания» доступны в Интернете по адресу http: // www.zeroextinction.org / (AZE 2010). Оба набора данных вместе со Всемирной базой данных по охраняемым районам также распространяются через Комплексный инструмент оценки биоразнообразия для исследований и планирования охраны, доступный в Интернете по адресу </w:t>
      </w:r>
      <w:hyperlink r:id="rId6" w:history="1">
        <w:r w:rsidRPr="00BB54F4">
          <w:rPr>
            <w:rStyle w:val="Hyperlink"/>
            <w:rFonts w:ascii="Times New Roman" w:hAnsi="Times New Roman" w:cs="Times New Roman"/>
            <w:color w:val="auto"/>
            <w:sz w:val="24"/>
            <w:szCs w:val="24"/>
            <w:lang w:val="ru-RU"/>
          </w:rPr>
          <w:t>https://www.ibat-alliance.org/ibat-conservation/login</w:t>
        </w:r>
      </w:hyperlink>
      <w:r w:rsidRPr="00BB54F4">
        <w:rPr>
          <w:rFonts w:ascii="Times New Roman" w:hAnsi="Times New Roman" w:cs="Times New Roman"/>
          <w:sz w:val="24"/>
          <w:szCs w:val="24"/>
          <w:lang w:val="ru-RU"/>
        </w:rPr>
        <w:t>.</w:t>
      </w:r>
    </w:p>
    <w:p w:rsidR="00A84731" w:rsidRPr="00BB54F4" w:rsidRDefault="00A84731" w:rsidP="00A84731">
      <w:pPr>
        <w:jc w:val="both"/>
        <w:rPr>
          <w:rFonts w:ascii="Times New Roman" w:hAnsi="Times New Roman" w:cs="Times New Roman"/>
          <w:b/>
          <w:sz w:val="24"/>
          <w:szCs w:val="24"/>
          <w:lang w:val="ru-RU"/>
        </w:rPr>
      </w:pPr>
      <w:r w:rsidRPr="00BB54F4">
        <w:rPr>
          <w:rFonts w:ascii="Times New Roman" w:hAnsi="Times New Roman" w:cs="Times New Roman"/>
          <w:b/>
          <w:sz w:val="24"/>
          <w:szCs w:val="24"/>
          <w:lang w:val="ru-RU"/>
        </w:rPr>
        <w:t>Ссылки:</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rPr>
        <w:t>URL</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http</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www</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unep</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wcmc</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org</w:t>
      </w:r>
      <w:r w:rsidRPr="00BB54F4">
        <w:rPr>
          <w:rFonts w:ascii="Times New Roman" w:hAnsi="Times New Roman" w:cs="Times New Roman"/>
          <w:sz w:val="24"/>
          <w:szCs w:val="24"/>
          <w:lang w:val="ru-RU"/>
        </w:rPr>
        <w:t xml:space="preserve">/; </w:t>
      </w:r>
      <w:r w:rsidRPr="00BB54F4">
        <w:rPr>
          <w:rFonts w:ascii="Times New Roman" w:hAnsi="Times New Roman" w:cs="Times New Roman"/>
          <w:sz w:val="24"/>
          <w:szCs w:val="24"/>
        </w:rPr>
        <w:t>http</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www</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birdlife</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org</w:t>
      </w:r>
      <w:r w:rsidRPr="00BB54F4">
        <w:rPr>
          <w:rFonts w:ascii="Times New Roman" w:hAnsi="Times New Roman" w:cs="Times New Roman"/>
          <w:sz w:val="24"/>
          <w:szCs w:val="24"/>
          <w:lang w:val="ru-RU"/>
        </w:rPr>
        <w:t xml:space="preserve">/; </w:t>
      </w:r>
      <w:hyperlink r:id="rId7" w:history="1">
        <w:r w:rsidRPr="00BB54F4">
          <w:rPr>
            <w:rStyle w:val="Hyperlink"/>
            <w:rFonts w:ascii="Times New Roman" w:hAnsi="Times New Roman" w:cs="Times New Roman"/>
            <w:color w:val="auto"/>
            <w:sz w:val="24"/>
            <w:szCs w:val="24"/>
          </w:rPr>
          <w:t>http</w:t>
        </w:r>
        <w:r w:rsidRPr="00BB54F4">
          <w:rPr>
            <w:rStyle w:val="Hyperlink"/>
            <w:rFonts w:ascii="Times New Roman" w:hAnsi="Times New Roman" w:cs="Times New Roman"/>
            <w:color w:val="auto"/>
            <w:sz w:val="24"/>
            <w:szCs w:val="24"/>
            <w:lang w:val="ru-RU"/>
          </w:rPr>
          <w:t>://</w:t>
        </w:r>
        <w:r w:rsidRPr="00BB54F4">
          <w:rPr>
            <w:rStyle w:val="Hyperlink"/>
            <w:rFonts w:ascii="Times New Roman" w:hAnsi="Times New Roman" w:cs="Times New Roman"/>
            <w:color w:val="auto"/>
            <w:sz w:val="24"/>
            <w:szCs w:val="24"/>
          </w:rPr>
          <w:t>www</w:t>
        </w:r>
        <w:r w:rsidRPr="00BB54F4">
          <w:rPr>
            <w:rStyle w:val="Hyperlink"/>
            <w:rFonts w:ascii="Times New Roman" w:hAnsi="Times New Roman" w:cs="Times New Roman"/>
            <w:color w:val="auto"/>
            <w:sz w:val="24"/>
            <w:szCs w:val="24"/>
            <w:lang w:val="ru-RU"/>
          </w:rPr>
          <w:t>.</w:t>
        </w:r>
        <w:r w:rsidRPr="00BB54F4">
          <w:rPr>
            <w:rStyle w:val="Hyperlink"/>
            <w:rFonts w:ascii="Times New Roman" w:hAnsi="Times New Roman" w:cs="Times New Roman"/>
            <w:color w:val="auto"/>
            <w:sz w:val="24"/>
            <w:szCs w:val="24"/>
          </w:rPr>
          <w:t>iucn</w:t>
        </w:r>
        <w:r w:rsidRPr="00BB54F4">
          <w:rPr>
            <w:rStyle w:val="Hyperlink"/>
            <w:rFonts w:ascii="Times New Roman" w:hAnsi="Times New Roman" w:cs="Times New Roman"/>
            <w:color w:val="auto"/>
            <w:sz w:val="24"/>
            <w:szCs w:val="24"/>
            <w:lang w:val="ru-RU"/>
          </w:rPr>
          <w:t>.</w:t>
        </w:r>
        <w:r w:rsidRPr="00BB54F4">
          <w:rPr>
            <w:rStyle w:val="Hyperlink"/>
            <w:rFonts w:ascii="Times New Roman" w:hAnsi="Times New Roman" w:cs="Times New Roman"/>
            <w:color w:val="auto"/>
            <w:sz w:val="24"/>
            <w:szCs w:val="24"/>
          </w:rPr>
          <w:t>org</w:t>
        </w:r>
        <w:r w:rsidRPr="00BB54F4">
          <w:rPr>
            <w:rStyle w:val="Hyperlink"/>
            <w:rFonts w:ascii="Times New Roman" w:hAnsi="Times New Roman" w:cs="Times New Roman"/>
            <w:color w:val="auto"/>
            <w:sz w:val="24"/>
            <w:szCs w:val="24"/>
            <w:lang w:val="ru-RU"/>
          </w:rPr>
          <w:t>/</w:t>
        </w:r>
      </w:hyperlink>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Ссылки:</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lang w:val="ru-RU"/>
        </w:rPr>
        <w:t>Эти метаданные основаны на следующих источниках:</w:t>
      </w:r>
    </w:p>
    <w:p w:rsidR="00A84731" w:rsidRPr="00BB54F4" w:rsidRDefault="00A84731" w:rsidP="00A84731">
      <w:pPr>
        <w:jc w:val="both"/>
        <w:rPr>
          <w:rFonts w:ascii="Times New Roman" w:hAnsi="Times New Roman" w:cs="Times New Roman"/>
          <w:sz w:val="24"/>
          <w:szCs w:val="24"/>
          <w:lang w:val="ru-RU"/>
        </w:rPr>
      </w:pPr>
      <w:r w:rsidRPr="00BB54F4">
        <w:rPr>
          <w:rFonts w:ascii="Times New Roman" w:hAnsi="Times New Roman" w:cs="Times New Roman"/>
          <w:sz w:val="24"/>
          <w:szCs w:val="24"/>
        </w:rPr>
        <w:lastRenderedPageBreak/>
        <w:t>http</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mdgs</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un</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org</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unsd</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mi</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wiki</w:t>
      </w:r>
      <w:r w:rsidRPr="00BB54F4">
        <w:rPr>
          <w:rFonts w:ascii="Times New Roman" w:hAnsi="Times New Roman" w:cs="Times New Roman"/>
          <w:sz w:val="24"/>
          <w:szCs w:val="24"/>
          <w:lang w:val="ru-RU"/>
        </w:rPr>
        <w:t>/7-6-</w:t>
      </w:r>
      <w:r w:rsidRPr="00BB54F4">
        <w:rPr>
          <w:rFonts w:ascii="Times New Roman" w:hAnsi="Times New Roman" w:cs="Times New Roman"/>
          <w:sz w:val="24"/>
          <w:szCs w:val="24"/>
        </w:rPr>
        <w:t>Proportion</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of</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terrestrial</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andmarine</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areas</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protected</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ashx</w:t>
      </w:r>
      <w:r w:rsidRPr="00BB54F4">
        <w:rPr>
          <w:rFonts w:ascii="Times New Roman" w:hAnsi="Times New Roman" w:cs="Times New Roman"/>
          <w:sz w:val="24"/>
          <w:szCs w:val="24"/>
          <w:lang w:val="ru-RU"/>
        </w:rPr>
        <w:t xml:space="preserve">, при поддержке </w:t>
      </w:r>
      <w:r w:rsidRPr="00BB54F4">
        <w:rPr>
          <w:rFonts w:ascii="Times New Roman" w:hAnsi="Times New Roman" w:cs="Times New Roman"/>
          <w:sz w:val="24"/>
          <w:szCs w:val="24"/>
        </w:rPr>
        <w:t>http</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www</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bipindicators</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net</w:t>
      </w:r>
      <w:r w:rsidRPr="00BB54F4">
        <w:rPr>
          <w:rFonts w:ascii="Times New Roman" w:hAnsi="Times New Roman" w:cs="Times New Roman"/>
          <w:sz w:val="24"/>
          <w:szCs w:val="24"/>
          <w:lang w:val="ru-RU"/>
        </w:rPr>
        <w:t>/</w:t>
      </w:r>
      <w:r w:rsidRPr="00BB54F4">
        <w:rPr>
          <w:rFonts w:ascii="Times New Roman" w:hAnsi="Times New Roman" w:cs="Times New Roman"/>
          <w:sz w:val="24"/>
          <w:szCs w:val="24"/>
        </w:rPr>
        <w:t>paoverlays</w:t>
      </w:r>
      <w:r w:rsidRPr="00BB54F4">
        <w:rPr>
          <w:rFonts w:ascii="Times New Roman" w:hAnsi="Times New Roman" w:cs="Times New Roman"/>
          <w:sz w:val="24"/>
          <w:szCs w:val="24"/>
          <w:lang w:val="ru-RU"/>
        </w:rPr>
        <w:t xml:space="preserve"> а также иных источниках, приведенных ниже.</w:t>
      </w:r>
    </w:p>
    <w:p w:rsidR="00A84731" w:rsidRPr="004141EE"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AZE (2010). AZE Database. Alliance for Zero Extinction, Washington DC, USA. Available at: http://www.zeroextinction.org/search.cfm.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BIRDLIFE INTERNATIONAL (2014). Important Bird and Biodiversity Areas: a global network for conserving nature and benefiting people. Cambridge, UK: BirdLife International. Available at </w:t>
      </w:r>
      <w:hyperlink r:id="rId8" w:anchor="IBA" w:history="1">
        <w:r w:rsidRPr="00BB54F4">
          <w:rPr>
            <w:rStyle w:val="Hyperlink"/>
            <w:rFonts w:ascii="Times New Roman" w:hAnsi="Times New Roman" w:cs="Times New Roman"/>
            <w:color w:val="auto"/>
            <w:sz w:val="24"/>
            <w:szCs w:val="24"/>
          </w:rPr>
          <w:t>http://www.birdlife.org/datazone/sowb/sowbpubs#IBA</w:t>
        </w:r>
      </w:hyperlink>
      <w:r w:rsidRPr="00BB54F4">
        <w:rPr>
          <w:rFonts w:ascii="Times New Roman" w:hAnsi="Times New Roman" w:cs="Times New Roman"/>
          <w:sz w:val="24"/>
          <w:szCs w:val="24"/>
        </w:rPr>
        <w:t>.</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BIRDLIFE INTERNATIONAL (2016). DataZone. BirdLife International, Cambridge, UK. Available from: http://www.zeroextinction.org/search.cfm.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BROOKS, T. et al. (2001). Conservation priorities for birds and biodiversity: do East African Important Bird Areas represent species diversity in other terrestrial vertebrate groups? Ostrich suppl. 15: 3–12. Available from: </w:t>
      </w:r>
      <w:hyperlink r:id="rId9" w:anchor=".VafbVJPVq75" w:history="1">
        <w:r w:rsidRPr="00BB54F4">
          <w:rPr>
            <w:rStyle w:val="Hyperlink"/>
            <w:rFonts w:ascii="Times New Roman" w:hAnsi="Times New Roman" w:cs="Times New Roman"/>
            <w:color w:val="auto"/>
            <w:sz w:val="24"/>
            <w:szCs w:val="24"/>
          </w:rPr>
          <w:t>http://www.tandfonline.com/doi/abs/10.2989/00306520109485329#.VafbVJPVq75</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BUTCHART, S. H. M. et al. (2010). Global biodiversity: indicators of recent declines. Science 328: 1164– 1168. Available from </w:t>
      </w:r>
      <w:hyperlink r:id="rId10" w:history="1">
        <w:r w:rsidRPr="00BB54F4">
          <w:rPr>
            <w:rStyle w:val="Hyperlink"/>
            <w:rFonts w:ascii="Times New Roman" w:hAnsi="Times New Roman" w:cs="Times New Roman"/>
            <w:color w:val="auto"/>
            <w:sz w:val="24"/>
            <w:szCs w:val="24"/>
          </w:rPr>
          <w:t>http://www.sciencemag.org/content/328/5982/1164.short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BUTCHART, S. H. M. et al. (2012). Protecting important sites for biodiversity contributes to meeting global conservation targets. PLoS One 7(3): e32529. Available from </w:t>
      </w:r>
      <w:hyperlink r:id="rId11" w:history="1">
        <w:r w:rsidRPr="00BB54F4">
          <w:rPr>
            <w:rStyle w:val="Hyperlink"/>
            <w:rFonts w:ascii="Times New Roman" w:hAnsi="Times New Roman" w:cs="Times New Roman"/>
            <w:color w:val="auto"/>
            <w:sz w:val="24"/>
            <w:szCs w:val="24"/>
          </w:rPr>
          <w:t>http://journals.plos.org/plosone/article?id=10.1371/journal.pone.0032529</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BUTCHART, S. H. M. et al. (2015). Shortfalls and solutions for meeting national and global conservation area targets. Conservation Letters 8: 329–337. Available from </w:t>
      </w:r>
      <w:hyperlink r:id="rId12" w:history="1">
        <w:r w:rsidRPr="00BB54F4">
          <w:rPr>
            <w:rStyle w:val="Hyperlink"/>
            <w:rFonts w:ascii="Times New Roman" w:hAnsi="Times New Roman" w:cs="Times New Roman"/>
            <w:color w:val="auto"/>
            <w:sz w:val="24"/>
            <w:szCs w:val="24"/>
          </w:rPr>
          <w:t>http://onlinelibrary.wiley.com/doi/10.1111/conl.12158/full</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CBD (2014). Global Biodiversity Outlook 4. Convention on Biological Diversity, Montréal, Canada. Available from </w:t>
      </w:r>
      <w:hyperlink r:id="rId13" w:history="1">
        <w:r w:rsidRPr="00BB54F4">
          <w:rPr>
            <w:rStyle w:val="Hyperlink"/>
            <w:rFonts w:ascii="Times New Roman" w:hAnsi="Times New Roman" w:cs="Times New Roman"/>
            <w:color w:val="auto"/>
            <w:sz w:val="24"/>
            <w:szCs w:val="24"/>
          </w:rPr>
          <w:t>https://www.cbd.int/gbo4/</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CHAPE, S. et al. (2005). Measuring the extent and effectiveness of protected areas as an indicator for meeting global biodiversity targets. Philosophical Transactions of the Royal Society B 360: 443-445. Available from </w:t>
      </w:r>
      <w:hyperlink r:id="rId14" w:history="1">
        <w:r w:rsidRPr="00BB54F4">
          <w:rPr>
            <w:rStyle w:val="Hyperlink"/>
            <w:rFonts w:ascii="Times New Roman" w:hAnsi="Times New Roman" w:cs="Times New Roman"/>
            <w:color w:val="auto"/>
            <w:sz w:val="24"/>
            <w:szCs w:val="24"/>
          </w:rPr>
          <w:t>http://rstb.royalsocietypublishing.org/content/360/1454/443.short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DEGUIGNET, M., et al. (2014). 2014 United Nations List of Protected Areas. UNEP-WCMC, Cambridge, UK. Available from http://unepwcmc.org/system/dataset_file_fields/files/000/000/263/original/2014_UN_List_of_Protected_Areas_EN _web.PDF?1415613322.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lastRenderedPageBreak/>
        <w:t xml:space="preserve">DI MARCO, M., et al. (2016). Quantifying the relative irreplaceability of Important Bird and Biodiversity Areas. Conservation Biology 30: 392–402. Available from </w:t>
      </w:r>
      <w:hyperlink r:id="rId15" w:history="1">
        <w:r w:rsidRPr="00BB54F4">
          <w:rPr>
            <w:rStyle w:val="Hyperlink"/>
            <w:rFonts w:ascii="Times New Roman" w:hAnsi="Times New Roman" w:cs="Times New Roman"/>
            <w:color w:val="auto"/>
            <w:sz w:val="24"/>
            <w:szCs w:val="24"/>
          </w:rPr>
          <w:t>http://onlinelibrary.wiley.com/doi/10.1111/cobi.12609/abstract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DUDLEY, N. (2008). Guidelines for Applying Protected Area Management Categories. International Union for Conservation of Nature (IUCN). Gland, Switzerland. Available from </w:t>
      </w:r>
      <w:hyperlink r:id="rId16" w:history="1">
        <w:r w:rsidRPr="00BB54F4">
          <w:rPr>
            <w:rStyle w:val="Hyperlink"/>
            <w:rFonts w:ascii="Times New Roman" w:hAnsi="Times New Roman" w:cs="Times New Roman"/>
            <w:color w:val="auto"/>
            <w:sz w:val="24"/>
            <w:szCs w:val="24"/>
          </w:rPr>
          <w:t>https://portals.iucn.org/library/node/9243</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EDGAR, G.J. et al. (2008). Key Biodiversity Areas as globally significant target sites for the conservation of marine biological diversity. Aquatic Conservation: Marine and Freshwater Ecosystems 18: 969–983. Available from </w:t>
      </w:r>
      <w:hyperlink r:id="rId17" w:history="1">
        <w:r w:rsidRPr="00BB54F4">
          <w:rPr>
            <w:rStyle w:val="Hyperlink"/>
            <w:rFonts w:ascii="Times New Roman" w:hAnsi="Times New Roman" w:cs="Times New Roman"/>
            <w:color w:val="auto"/>
            <w:sz w:val="24"/>
            <w:szCs w:val="24"/>
          </w:rPr>
          <w:t>http://onlinelibrary.wiley.com/doi/10.1002/aqc.902/abstract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EKEN, G. et al. (2004). Key biodiversity areas as site conservation targets. BioScience 54: 1110–1118. Available from </w:t>
      </w:r>
      <w:hyperlink r:id="rId18" w:history="1">
        <w:r w:rsidRPr="00BB54F4">
          <w:rPr>
            <w:rStyle w:val="Hyperlink"/>
            <w:rFonts w:ascii="Times New Roman" w:hAnsi="Times New Roman" w:cs="Times New Roman"/>
            <w:color w:val="auto"/>
            <w:sz w:val="24"/>
            <w:szCs w:val="24"/>
          </w:rPr>
          <w:t>http://bioscience.oxfordjournals.org/content/54/12/1110.short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FOSTER, M.N. et al. (2012) The identification of sites of biodiversity conservation significance: progress with the application of a global standard. Journal of Threatened Taxa 4: 2733–2744. Available from </w:t>
      </w:r>
      <w:hyperlink r:id="rId19" w:history="1">
        <w:r w:rsidRPr="00BB54F4">
          <w:rPr>
            <w:rStyle w:val="Hyperlink"/>
            <w:rFonts w:ascii="Times New Roman" w:hAnsi="Times New Roman" w:cs="Times New Roman"/>
            <w:color w:val="auto"/>
            <w:sz w:val="24"/>
            <w:szCs w:val="24"/>
          </w:rPr>
          <w:t>http://www.threatenedtaxa.in/index.php/JoTT/article/view/779</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HAN, X. et al. (2014). A Biodiversity indicators dashboard: addressing challenges to monitoring progress towards the Aichi Biodiversity Targets using disaggregated global data. PLoS ONE 9(11): e112046. Available from </w:t>
      </w:r>
      <w:hyperlink r:id="rId20" w:history="1">
        <w:r w:rsidRPr="00BB54F4">
          <w:rPr>
            <w:rStyle w:val="Hyperlink"/>
            <w:rFonts w:ascii="Times New Roman" w:hAnsi="Times New Roman" w:cs="Times New Roman"/>
            <w:color w:val="auto"/>
            <w:sz w:val="24"/>
            <w:szCs w:val="24"/>
          </w:rPr>
          <w:t>http://journals.plos.org/plosone/article?id=10.1371/journal.pone.0112046</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HOLLAND, R.A. et al. (2012). Conservation priorities for freshwater biodiversity: the key biodiversity area approach refined and tested for continental Africa. Biological Conservation 148: 167–179. Available from </w:t>
      </w:r>
      <w:hyperlink r:id="rId21" w:history="1">
        <w:r w:rsidRPr="00BB54F4">
          <w:rPr>
            <w:rStyle w:val="Hyperlink"/>
            <w:rFonts w:ascii="Times New Roman" w:hAnsi="Times New Roman" w:cs="Times New Roman"/>
            <w:color w:val="auto"/>
            <w:sz w:val="24"/>
            <w:szCs w:val="24"/>
          </w:rPr>
          <w:t>http://www.sciencedirect.com/science/article/pii/S0006320712000298</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IUCN (2016). A Global Standard for the Identification of Key Biodiversity Areas. International Union for Conservation of Nature, Gland, Switzerland. Available from </w:t>
      </w:r>
      <w:hyperlink r:id="rId22" w:history="1">
        <w:r w:rsidRPr="00BB54F4">
          <w:rPr>
            <w:rStyle w:val="Hyperlink"/>
            <w:rFonts w:ascii="Times New Roman" w:hAnsi="Times New Roman" w:cs="Times New Roman"/>
            <w:color w:val="auto"/>
            <w:sz w:val="24"/>
            <w:szCs w:val="24"/>
          </w:rPr>
          <w:t>http://www.kbaconsultation.org/</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IUCN &amp; UNEP-WCMC (2015). The World Database on Protected Areas (WDPA). UNEP-WCMC, Cambridge, UK. Available from </w:t>
      </w:r>
      <w:hyperlink r:id="rId23" w:history="1">
        <w:r w:rsidRPr="00BB54F4">
          <w:rPr>
            <w:rStyle w:val="Hyperlink"/>
            <w:rFonts w:ascii="Times New Roman" w:hAnsi="Times New Roman" w:cs="Times New Roman"/>
            <w:color w:val="auto"/>
            <w:sz w:val="24"/>
            <w:szCs w:val="24"/>
          </w:rPr>
          <w:t>http://www.protectedplanet.net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JONAS, H.D. et al. (2014) New steps of change: looking beyond protected areas to consider other effective area-based conservation measures. Parks 20: 111–128. Available from http://parksjournal.com/wp-content/uploads/2014/10/PARKS-20.2-Jonas-et-al- 10.2305IUCN.CH_.2014.PARKS-20-2.HDJ_.en_.pdf.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JUFFE-BIGNOLI, D. et al. (2014). Protected Planet Report 2014. UNEP-WCMC, Cambridge, UK. Available from </w:t>
      </w:r>
      <w:hyperlink r:id="rId24" w:history="1">
        <w:r w:rsidRPr="00BB54F4">
          <w:rPr>
            <w:rStyle w:val="Hyperlink"/>
            <w:rFonts w:ascii="Times New Roman" w:hAnsi="Times New Roman" w:cs="Times New Roman"/>
            <w:color w:val="auto"/>
            <w:sz w:val="24"/>
            <w:szCs w:val="24"/>
          </w:rPr>
          <w:t>https://portals.iucn.org/library/node/44896</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lastRenderedPageBreak/>
        <w:t xml:space="preserve">KNIGHT, A. T. et al. (2007). Improving the Key Biodiversity Areas approach for effective conservation planning. BioScience 57: 256–261. Available from </w:t>
      </w:r>
      <w:hyperlink r:id="rId25" w:history="1">
        <w:r w:rsidRPr="00BB54F4">
          <w:rPr>
            <w:rStyle w:val="Hyperlink"/>
            <w:rFonts w:ascii="Times New Roman" w:hAnsi="Times New Roman" w:cs="Times New Roman"/>
            <w:color w:val="auto"/>
            <w:sz w:val="24"/>
            <w:szCs w:val="24"/>
          </w:rPr>
          <w:t>http://bioscience.oxfordjournals.org/content/57/3/256.short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LANGHAMMER, P. F. et al. (2007). Identification and Gap Analysis of Key Biodiversity Areas: Targets for Comprehensive Protected Area Systems. IUCN World Commission on Protected Areas Best Practice Protected Area Guidelines Series No. 15. IUCN, Gland, Switzerland. Available from </w:t>
      </w:r>
      <w:hyperlink r:id="rId26" w:history="1">
        <w:r w:rsidRPr="00BB54F4">
          <w:rPr>
            <w:rStyle w:val="Hyperlink"/>
            <w:rFonts w:ascii="Times New Roman" w:hAnsi="Times New Roman" w:cs="Times New Roman"/>
            <w:color w:val="auto"/>
            <w:sz w:val="24"/>
            <w:szCs w:val="24"/>
          </w:rPr>
          <w:t>https://portals.iucn.org/library/node/9055</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LEVERINGTON, F. et al. (2010). A global analysis of protected area management effectiveness. Environmental Management 46: 685–698. Available from </w:t>
      </w:r>
      <w:hyperlink r:id="rId27" w:anchor="page-1" w:history="1">
        <w:r w:rsidRPr="00BB54F4">
          <w:rPr>
            <w:rStyle w:val="Hyperlink"/>
            <w:rFonts w:ascii="Times New Roman" w:hAnsi="Times New Roman" w:cs="Times New Roman"/>
            <w:color w:val="auto"/>
            <w:sz w:val="24"/>
            <w:szCs w:val="24"/>
          </w:rPr>
          <w:t>http://link.springer.com/article/10.1007/s00267-010-9564-5#page-1</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MONTESINO POUZOLS, F., et al. (2014) Global protected area expansion is compromised by projected land-use and parochialism. Nature 516: 383–386. Available from </w:t>
      </w:r>
      <w:hyperlink r:id="rId28" w:history="1">
        <w:r w:rsidRPr="00BB54F4">
          <w:rPr>
            <w:rStyle w:val="Hyperlink"/>
            <w:rFonts w:ascii="Times New Roman" w:hAnsi="Times New Roman" w:cs="Times New Roman"/>
            <w:color w:val="auto"/>
            <w:sz w:val="24"/>
            <w:szCs w:val="24"/>
          </w:rPr>
          <w:t>http://www.nature.com/nature/journal/v516/n7531/abs/nature14032.html</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NOLTE, C. &amp; AGRAWAL, A. (2013). Linking management effectiveness indicators to observed effects of protected areas on fire occurrence in the Amazon rainforest. Conservation Biology 27: 155–165. Available from </w:t>
      </w:r>
      <w:hyperlink r:id="rId29" w:history="1">
        <w:r w:rsidRPr="00BB54F4">
          <w:rPr>
            <w:rStyle w:val="Hyperlink"/>
            <w:rFonts w:ascii="Times New Roman" w:hAnsi="Times New Roman" w:cs="Times New Roman"/>
            <w:color w:val="auto"/>
            <w:sz w:val="24"/>
            <w:szCs w:val="24"/>
          </w:rPr>
          <w:t>http://onlinelibrary.wiley.com/doi/10.1111/j.1523-1739.2012.01930.x/abstract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PAIN, D.J. et al. (2005) Biodiversity representation in Uganda’s forest IBAs. Biological Conservation 125: 133–138. Available from </w:t>
      </w:r>
      <w:hyperlink r:id="rId30" w:history="1">
        <w:r w:rsidRPr="00BB54F4">
          <w:rPr>
            <w:rStyle w:val="Hyperlink"/>
            <w:rFonts w:ascii="Times New Roman" w:hAnsi="Times New Roman" w:cs="Times New Roman"/>
            <w:color w:val="auto"/>
            <w:sz w:val="24"/>
            <w:szCs w:val="24"/>
          </w:rPr>
          <w:t>http://www.sciencedirect.com/science/article/pii/S0006320705001412</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RICKETTS, T. H. et al. (2005). Pinpointing and preventing imminent extinctions. Proceedings of the National Academy of Sciences of the U.S.A. 102: 18497–18501. Available from </w:t>
      </w:r>
      <w:hyperlink r:id="rId31" w:history="1">
        <w:r w:rsidRPr="00BB54F4">
          <w:rPr>
            <w:rStyle w:val="Hyperlink"/>
            <w:rFonts w:ascii="Times New Roman" w:hAnsi="Times New Roman" w:cs="Times New Roman"/>
            <w:color w:val="auto"/>
            <w:sz w:val="24"/>
            <w:szCs w:val="24"/>
          </w:rPr>
          <w:t>http://www.pnas.org/content/102/51/18497.short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RODRIGUES, A. S. L. et al. (2004). Effectiveness of the global protected area network in representing species diversity. Nature 428: 640–643. Available from </w:t>
      </w:r>
      <w:hyperlink r:id="rId32" w:history="1">
        <w:r w:rsidRPr="00BB54F4">
          <w:rPr>
            <w:rStyle w:val="Hyperlink"/>
            <w:rFonts w:ascii="Times New Roman" w:hAnsi="Times New Roman" w:cs="Times New Roman"/>
            <w:color w:val="auto"/>
            <w:sz w:val="24"/>
            <w:szCs w:val="24"/>
          </w:rPr>
          <w:t>http://www.nature.com/nature/journal/v428/n6983/abs/nature02422.html</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RODRÍGUEZ-RODRÍGUEZ, D., et al. (2011). Progress towards international targets for protected area coverage in mountains: a multi-scale assessment. Biological Conservation 144: 2978–2983. Available from </w:t>
      </w:r>
      <w:hyperlink r:id="rId33" w:history="1">
        <w:r w:rsidRPr="00BB54F4">
          <w:rPr>
            <w:rStyle w:val="Hyperlink"/>
            <w:rFonts w:ascii="Times New Roman" w:hAnsi="Times New Roman" w:cs="Times New Roman"/>
            <w:color w:val="auto"/>
            <w:sz w:val="24"/>
            <w:szCs w:val="24"/>
          </w:rPr>
          <w:t>http://www.sciencedirect.com/science/article/pii/S0006320711003454</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 xml:space="preserve">TITTENSOR, D. et al. (2014). A mid-term analysis of progress towards international biodiversity targets. Science 346: 241–244. Available from </w:t>
      </w:r>
      <w:hyperlink r:id="rId34" w:history="1">
        <w:r w:rsidRPr="00BB54F4">
          <w:rPr>
            <w:rStyle w:val="Hyperlink"/>
            <w:rFonts w:ascii="Times New Roman" w:hAnsi="Times New Roman" w:cs="Times New Roman"/>
            <w:color w:val="auto"/>
            <w:sz w:val="24"/>
            <w:szCs w:val="24"/>
          </w:rPr>
          <w:t>http://www.sciencemag.org/content/346/6206/241.short</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lastRenderedPageBreak/>
        <w:t xml:space="preserve">UNEP-WCMC (2002). Mountain Watch: Environmental Change and Sustainable Development in Mountains. United Nations Environment Programme World Conservation Monitoring Centre, Cambridge, UK. Available from: </w:t>
      </w:r>
      <w:hyperlink r:id="rId35" w:history="1">
        <w:r w:rsidRPr="00BB54F4">
          <w:rPr>
            <w:rStyle w:val="Hyperlink"/>
            <w:rFonts w:ascii="Times New Roman" w:hAnsi="Times New Roman" w:cs="Times New Roman"/>
            <w:color w:val="auto"/>
            <w:sz w:val="24"/>
            <w:szCs w:val="24"/>
          </w:rPr>
          <w:t>http://www.unep-wcmc.org/resources-and-data/mountain-watch--environmentalchange-sustainable-development-in-mountains</w:t>
        </w:r>
      </w:hyperlink>
      <w:r w:rsidRPr="00BB54F4">
        <w:rPr>
          <w:rFonts w:ascii="Times New Roman" w:hAnsi="Times New Roman" w:cs="Times New Roman"/>
          <w:sz w:val="24"/>
          <w:szCs w:val="24"/>
        </w:rPr>
        <w:t xml:space="preserve">. </w:t>
      </w:r>
    </w:p>
    <w:p w:rsidR="00A84731" w:rsidRPr="00BB54F4" w:rsidRDefault="00A84731" w:rsidP="00A84731">
      <w:pPr>
        <w:jc w:val="both"/>
        <w:rPr>
          <w:rFonts w:ascii="Times New Roman" w:hAnsi="Times New Roman" w:cs="Times New Roman"/>
          <w:sz w:val="24"/>
          <w:szCs w:val="24"/>
        </w:rPr>
      </w:pPr>
      <w:r w:rsidRPr="00BB54F4">
        <w:rPr>
          <w:rFonts w:ascii="Times New Roman" w:hAnsi="Times New Roman" w:cs="Times New Roman"/>
          <w:sz w:val="24"/>
          <w:szCs w:val="24"/>
        </w:rPr>
        <w:t>UNEP-WCMC (2016). World Database on Protected Areas User Manual 1.2. UNEP-WCMC, Cambridge, UK. Available from http://wcmc.io/WDPA_Manual.</w:t>
      </w:r>
    </w:p>
    <w:p w:rsidR="00A84731" w:rsidRPr="00BB54F4" w:rsidRDefault="00A84731" w:rsidP="00A84731">
      <w:pPr>
        <w:jc w:val="both"/>
        <w:rPr>
          <w:rFonts w:ascii="Times New Roman" w:hAnsi="Times New Roman" w:cs="Times New Roman"/>
          <w:sz w:val="24"/>
          <w:szCs w:val="24"/>
        </w:rPr>
      </w:pPr>
    </w:p>
    <w:p w:rsidR="00A84731" w:rsidRPr="00BB54F4" w:rsidRDefault="00A84731" w:rsidP="00A84731">
      <w:pPr>
        <w:jc w:val="both"/>
        <w:rPr>
          <w:rFonts w:ascii="Times New Roman" w:hAnsi="Times New Roman" w:cs="Times New Roman"/>
          <w:sz w:val="24"/>
          <w:szCs w:val="24"/>
        </w:rPr>
      </w:pPr>
    </w:p>
    <w:p w:rsidR="00D02C94" w:rsidRPr="00A84731" w:rsidRDefault="00D02C94" w:rsidP="00A84731">
      <w:bookmarkStart w:id="0" w:name="_GoBack"/>
      <w:bookmarkEnd w:id="0"/>
    </w:p>
    <w:sectPr w:rsidR="00D02C94" w:rsidRPr="00A84731" w:rsidSect="00373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3B7D"/>
    <w:rsid w:val="0003499E"/>
    <w:rsid w:val="00045D68"/>
    <w:rsid w:val="00050A14"/>
    <w:rsid w:val="000549D6"/>
    <w:rsid w:val="000747B2"/>
    <w:rsid w:val="000C3820"/>
    <w:rsid w:val="00162DF7"/>
    <w:rsid w:val="00163F9A"/>
    <w:rsid w:val="002014A1"/>
    <w:rsid w:val="00251934"/>
    <w:rsid w:val="002965EE"/>
    <w:rsid w:val="002A38B0"/>
    <w:rsid w:val="002C1E93"/>
    <w:rsid w:val="002D49F6"/>
    <w:rsid w:val="0032641E"/>
    <w:rsid w:val="00363F40"/>
    <w:rsid w:val="00367375"/>
    <w:rsid w:val="0037358E"/>
    <w:rsid w:val="00382DCC"/>
    <w:rsid w:val="003872A5"/>
    <w:rsid w:val="00391CBB"/>
    <w:rsid w:val="003D3850"/>
    <w:rsid w:val="003F5F7D"/>
    <w:rsid w:val="004141EE"/>
    <w:rsid w:val="004215E6"/>
    <w:rsid w:val="004338EC"/>
    <w:rsid w:val="004716AA"/>
    <w:rsid w:val="00487F11"/>
    <w:rsid w:val="00495B43"/>
    <w:rsid w:val="004C1D40"/>
    <w:rsid w:val="004F2BD4"/>
    <w:rsid w:val="00500EA0"/>
    <w:rsid w:val="00580B50"/>
    <w:rsid w:val="00586D78"/>
    <w:rsid w:val="005E3017"/>
    <w:rsid w:val="00614DF1"/>
    <w:rsid w:val="00616FA1"/>
    <w:rsid w:val="00636969"/>
    <w:rsid w:val="006D14AD"/>
    <w:rsid w:val="006E6465"/>
    <w:rsid w:val="006E6DC3"/>
    <w:rsid w:val="006F0837"/>
    <w:rsid w:val="0074289E"/>
    <w:rsid w:val="00743A14"/>
    <w:rsid w:val="007C6105"/>
    <w:rsid w:val="007D7748"/>
    <w:rsid w:val="0080344C"/>
    <w:rsid w:val="00822AE4"/>
    <w:rsid w:val="00856A42"/>
    <w:rsid w:val="00865DCA"/>
    <w:rsid w:val="008A4592"/>
    <w:rsid w:val="008C2784"/>
    <w:rsid w:val="008C6F3F"/>
    <w:rsid w:val="008D0C58"/>
    <w:rsid w:val="008D1EEC"/>
    <w:rsid w:val="008F2290"/>
    <w:rsid w:val="009046BD"/>
    <w:rsid w:val="00910FB3"/>
    <w:rsid w:val="009D2008"/>
    <w:rsid w:val="009D4584"/>
    <w:rsid w:val="009D5E26"/>
    <w:rsid w:val="009E57A7"/>
    <w:rsid w:val="00A1372E"/>
    <w:rsid w:val="00A26094"/>
    <w:rsid w:val="00A34A5F"/>
    <w:rsid w:val="00A84731"/>
    <w:rsid w:val="00B354CE"/>
    <w:rsid w:val="00B45741"/>
    <w:rsid w:val="00B95BE5"/>
    <w:rsid w:val="00BB54F4"/>
    <w:rsid w:val="00BC59A6"/>
    <w:rsid w:val="00C86188"/>
    <w:rsid w:val="00C92373"/>
    <w:rsid w:val="00CA3132"/>
    <w:rsid w:val="00CC4669"/>
    <w:rsid w:val="00CC6597"/>
    <w:rsid w:val="00CD733C"/>
    <w:rsid w:val="00D02C94"/>
    <w:rsid w:val="00D05330"/>
    <w:rsid w:val="00D06922"/>
    <w:rsid w:val="00D2179A"/>
    <w:rsid w:val="00D300B5"/>
    <w:rsid w:val="00D312E5"/>
    <w:rsid w:val="00DE3809"/>
    <w:rsid w:val="00E1756F"/>
    <w:rsid w:val="00E23B7D"/>
    <w:rsid w:val="00E23DDF"/>
    <w:rsid w:val="00E27730"/>
    <w:rsid w:val="00E8239B"/>
    <w:rsid w:val="00EA04EB"/>
    <w:rsid w:val="00EC03F3"/>
    <w:rsid w:val="00F11308"/>
    <w:rsid w:val="00F64227"/>
    <w:rsid w:val="00F70075"/>
    <w:rsid w:val="00F77398"/>
    <w:rsid w:val="00F83456"/>
    <w:rsid w:val="00FC76A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8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gbo4/" TargetMode="External"/><Relationship Id="rId18" Type="http://schemas.openxmlformats.org/officeDocument/2006/relationships/hyperlink" Target="http://bioscience.oxfordjournals.org/content/54/12/1110.short" TargetMode="External"/><Relationship Id="rId26" Type="http://schemas.openxmlformats.org/officeDocument/2006/relationships/hyperlink" Target="https://portals.iucn.org/library/node/9055" TargetMode="External"/><Relationship Id="rId21" Type="http://schemas.openxmlformats.org/officeDocument/2006/relationships/hyperlink" Target="http://www.sciencedirect.com/science/article/pii/S0006320712000298" TargetMode="External"/><Relationship Id="rId34" Type="http://schemas.openxmlformats.org/officeDocument/2006/relationships/hyperlink" Target="http://www.sciencemag.org/content/346/6206/241.short" TargetMode="External"/><Relationship Id="rId7" Type="http://schemas.openxmlformats.org/officeDocument/2006/relationships/hyperlink" Target="http://www.iucn.org/" TargetMode="External"/><Relationship Id="rId12" Type="http://schemas.openxmlformats.org/officeDocument/2006/relationships/hyperlink" Target="http://onlinelibrary.wiley.com/doi/10.1111/conl.12158/full" TargetMode="External"/><Relationship Id="rId17" Type="http://schemas.openxmlformats.org/officeDocument/2006/relationships/hyperlink" Target="http://onlinelibrary.wiley.com/doi/10.1002/aqc.902/abstract" TargetMode="External"/><Relationship Id="rId25" Type="http://schemas.openxmlformats.org/officeDocument/2006/relationships/hyperlink" Target="http://bioscience.oxfordjournals.org/content/57/3/256.short" TargetMode="External"/><Relationship Id="rId33" Type="http://schemas.openxmlformats.org/officeDocument/2006/relationships/hyperlink" Target="http://www.sciencedirect.com/science/article/pii/S0006320711003454" TargetMode="External"/><Relationship Id="rId2" Type="http://schemas.openxmlformats.org/officeDocument/2006/relationships/settings" Target="settings.xml"/><Relationship Id="rId16" Type="http://schemas.openxmlformats.org/officeDocument/2006/relationships/hyperlink" Target="https://portals.iucn.org/library/node/9243" TargetMode="External"/><Relationship Id="rId20" Type="http://schemas.openxmlformats.org/officeDocument/2006/relationships/hyperlink" Target="http://journals.plos.org/plosone/article?id=10.1371/journal.pone.0112046" TargetMode="External"/><Relationship Id="rId29" Type="http://schemas.openxmlformats.org/officeDocument/2006/relationships/hyperlink" Target="http://onlinelibrary.wiley.com/doi/10.1111/j.1523-1739.2012.01930.x/abstract" TargetMode="External"/><Relationship Id="rId1" Type="http://schemas.openxmlformats.org/officeDocument/2006/relationships/styles" Target="styles.xml"/><Relationship Id="rId6" Type="http://schemas.openxmlformats.org/officeDocument/2006/relationships/hyperlink" Target="https://www.ibat-alliance.org/ibat-conservation/login" TargetMode="External"/><Relationship Id="rId11" Type="http://schemas.openxmlformats.org/officeDocument/2006/relationships/hyperlink" Target="http://journals.plos.org/plosone/article?id=10.1371/journal.pone.0032529" TargetMode="External"/><Relationship Id="rId24" Type="http://schemas.openxmlformats.org/officeDocument/2006/relationships/hyperlink" Target="https://portals.iucn.org/library/node/44896" TargetMode="External"/><Relationship Id="rId32" Type="http://schemas.openxmlformats.org/officeDocument/2006/relationships/hyperlink" Target="http://www.nature.com/nature/journal/v428/n6983/abs/nature02422.html" TargetMode="External"/><Relationship Id="rId37" Type="http://schemas.openxmlformats.org/officeDocument/2006/relationships/theme" Target="theme/theme1.xml"/><Relationship Id="rId5" Type="http://schemas.openxmlformats.org/officeDocument/2006/relationships/hyperlink" Target="https://www.ibat-alliance.org/ibat-conservation/login" TargetMode="External"/><Relationship Id="rId15" Type="http://schemas.openxmlformats.org/officeDocument/2006/relationships/hyperlink" Target="http://onlinelibrary.wiley.com/doi/10.1111/cobi.12609/abstract" TargetMode="External"/><Relationship Id="rId23" Type="http://schemas.openxmlformats.org/officeDocument/2006/relationships/hyperlink" Target="http://www.protectedplanet.net" TargetMode="External"/><Relationship Id="rId28" Type="http://schemas.openxmlformats.org/officeDocument/2006/relationships/hyperlink" Target="http://www.nature.com/nature/journal/v516/n7531/abs/nature14032.html" TargetMode="External"/><Relationship Id="rId36" Type="http://schemas.openxmlformats.org/officeDocument/2006/relationships/fontTable" Target="fontTable.xml"/><Relationship Id="rId10" Type="http://schemas.openxmlformats.org/officeDocument/2006/relationships/hyperlink" Target="http://www.sciencemag.org/content/328/5982/1164.short" TargetMode="External"/><Relationship Id="rId19" Type="http://schemas.openxmlformats.org/officeDocument/2006/relationships/hyperlink" Target="http://www.threatenedtaxa.in/index.php/JoTT/article/view/779" TargetMode="External"/><Relationship Id="rId31" Type="http://schemas.openxmlformats.org/officeDocument/2006/relationships/hyperlink" Target="http://www.pnas.org/content/102/51/18497.short" TargetMode="External"/><Relationship Id="rId4" Type="http://schemas.openxmlformats.org/officeDocument/2006/relationships/hyperlink" Target="http://www.birdlife.org/datazone/site/search" TargetMode="External"/><Relationship Id="rId9" Type="http://schemas.openxmlformats.org/officeDocument/2006/relationships/hyperlink" Target="http://www.tandfonline.com/doi/abs/10.2989/00306520109485329" TargetMode="External"/><Relationship Id="rId14" Type="http://schemas.openxmlformats.org/officeDocument/2006/relationships/hyperlink" Target="http://rstb.royalsocietypublishing.org/content/360/1454/443.short" TargetMode="External"/><Relationship Id="rId22" Type="http://schemas.openxmlformats.org/officeDocument/2006/relationships/hyperlink" Target="http://www.kbaconsultation.org/" TargetMode="External"/><Relationship Id="rId27" Type="http://schemas.openxmlformats.org/officeDocument/2006/relationships/hyperlink" Target="http://link.springer.com/article/10.1007/s00267-010-9564-5" TargetMode="External"/><Relationship Id="rId30" Type="http://schemas.openxmlformats.org/officeDocument/2006/relationships/hyperlink" Target="http://www.sciencedirect.com/science/article/pii/S0006320705001412" TargetMode="External"/><Relationship Id="rId35" Type="http://schemas.openxmlformats.org/officeDocument/2006/relationships/hyperlink" Target="http://www.unep-wcmc.org/resources-and-data/mountain-watch--environmentalchange-sustainable-development-in-mountains" TargetMode="External"/><Relationship Id="rId8" Type="http://schemas.openxmlformats.org/officeDocument/2006/relationships/hyperlink" Target="http://www.birdlife.org/datazone/sowb/sowbpubs"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14</Pages>
  <Words>5138</Words>
  <Characters>29288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63</cp:revision>
  <dcterms:created xsi:type="dcterms:W3CDTF">2017-05-27T17:26:00Z</dcterms:created>
  <dcterms:modified xsi:type="dcterms:W3CDTF">2021-08-19T17:09:00Z</dcterms:modified>
</cp:coreProperties>
</file>