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D2BE" w14:textId="77777777" w:rsidR="00001890" w:rsidRPr="003D6F15" w:rsidRDefault="00001890" w:rsidP="00001890">
      <w:pPr>
        <w:jc w:val="both"/>
        <w:rPr>
          <w:rFonts w:ascii="Times New Roman" w:eastAsia="Times New Roman" w:hAnsi="Times New Roman" w:cs="Times New Roman"/>
          <w:b/>
          <w:sz w:val="24"/>
          <w:szCs w:val="24"/>
        </w:rPr>
      </w:pPr>
      <w:r w:rsidRPr="003D6F15">
        <w:rPr>
          <w:rFonts w:ascii="Times New Roman" w:eastAsia="Times New Roman" w:hAnsi="Times New Roman" w:cs="Times New Roman"/>
          <w:b/>
          <w:sz w:val="24"/>
          <w:szCs w:val="24"/>
        </w:rPr>
        <w:t>Цель 1</w:t>
      </w:r>
      <w:r>
        <w:rPr>
          <w:rFonts w:ascii="Times New Roman" w:eastAsia="Times New Roman" w:hAnsi="Times New Roman" w:cs="Times New Roman"/>
          <w:b/>
          <w:sz w:val="24"/>
          <w:szCs w:val="24"/>
        </w:rPr>
        <w:t>3</w:t>
      </w:r>
      <w:r w:rsidRPr="003D6F15">
        <w:rPr>
          <w:rFonts w:ascii="Times New Roman" w:eastAsia="Times New Roman" w:hAnsi="Times New Roman" w:cs="Times New Roman"/>
          <w:b/>
          <w:sz w:val="24"/>
          <w:szCs w:val="24"/>
        </w:rPr>
        <w:t xml:space="preserve">. </w:t>
      </w:r>
      <w:r w:rsidRPr="00E8777C">
        <w:rPr>
          <w:rFonts w:ascii="Times New Roman" w:eastAsia="Times New Roman" w:hAnsi="Times New Roman" w:cs="Times New Roman"/>
          <w:b/>
          <w:sz w:val="24"/>
          <w:szCs w:val="24"/>
        </w:rPr>
        <w:t>Принятие срочных мер по борьбе с изменением климата и его последствиями</w:t>
      </w:r>
    </w:p>
    <w:p w14:paraId="40AE8449" w14:textId="77777777" w:rsidR="00001890" w:rsidRPr="003D6F15" w:rsidRDefault="00001890" w:rsidP="00001890">
      <w:pPr>
        <w:jc w:val="both"/>
        <w:rPr>
          <w:rFonts w:ascii="Times New Roman" w:eastAsia="Times New Roman" w:hAnsi="Times New Roman" w:cs="Times New Roman"/>
          <w:b/>
          <w:sz w:val="24"/>
          <w:szCs w:val="24"/>
        </w:rPr>
      </w:pPr>
      <w:r w:rsidRPr="003D6F1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3D6F1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3D6F15">
        <w:rPr>
          <w:rFonts w:ascii="Times New Roman" w:eastAsia="Times New Roman" w:hAnsi="Times New Roman" w:cs="Times New Roman"/>
          <w:b/>
          <w:sz w:val="24"/>
          <w:szCs w:val="24"/>
        </w:rPr>
        <w:t xml:space="preserve"> </w:t>
      </w:r>
      <w:r w:rsidRPr="00E8777C">
        <w:rPr>
          <w:rFonts w:ascii="Times New Roman" w:eastAsia="Times New Roman" w:hAnsi="Times New Roman" w:cs="Times New Roman"/>
          <w:b/>
          <w:sz w:val="24"/>
          <w:szCs w:val="24"/>
        </w:rPr>
        <w:t>Повысить сопротивляемость и способность адаптироваться к опасным климатическим явлениям и стихийным бедствиям во всех странах</w:t>
      </w:r>
    </w:p>
    <w:p w14:paraId="0215C661" w14:textId="77777777" w:rsidR="00001890" w:rsidRDefault="00001890" w:rsidP="00001890">
      <w:pPr>
        <w:jc w:val="both"/>
        <w:rPr>
          <w:rFonts w:ascii="Times New Roman" w:hAnsi="Times New Roman" w:cs="Times New Roman"/>
          <w:b/>
          <w:sz w:val="24"/>
          <w:szCs w:val="24"/>
        </w:rPr>
      </w:pPr>
      <w:r w:rsidRPr="00E8777C">
        <w:rPr>
          <w:rFonts w:ascii="Times New Roman" w:hAnsi="Times New Roman" w:cs="Times New Roman"/>
          <w:b/>
          <w:sz w:val="24"/>
          <w:szCs w:val="24"/>
        </w:rPr>
        <w:t>13.1.2 Число стран, принявших и осуществляющих национальные стратегии снижения риска бедствий в соответствии с Сендайской рамочной программой по снижению риска бедствий на 2015-2030 годы</w:t>
      </w:r>
    </w:p>
    <w:p w14:paraId="18683342"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Институциональная информация</w:t>
      </w:r>
    </w:p>
    <w:p w14:paraId="70833169"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Организация(и):</w:t>
      </w:r>
    </w:p>
    <w:p w14:paraId="740B7018"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Управление Организации Объединенных Наций по уменьшению опасности бедствий (МСУОБ ООН)</w:t>
      </w:r>
    </w:p>
    <w:p w14:paraId="75D838BC"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Понятия и определения</w:t>
      </w:r>
    </w:p>
    <w:p w14:paraId="0305736B"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Определения:</w:t>
      </w:r>
    </w:p>
    <w:p w14:paraId="032991BD"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[A] Межправительственная рабочая группа экспертов открытого состава по показателям и терминологии, касающимся уменьшения опасностей бедствий (УОБ), установленных Генеральной Ассамблеей (резолюция 69/284), разрабатывает ряд показателей для оценки глобального прогресса в осуществлении Сендайской рамочной программе. Эти показатели будут в конечном итоге отражать показатели по Сендайской рамочной программе.</w:t>
      </w:r>
    </w:p>
    <w:p w14:paraId="6CC8A62C"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Обоснование:</w:t>
      </w:r>
    </w:p>
    <w:p w14:paraId="689BE4C2"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Показатель построит мост между ЦУР (SDG) и Сендайской рамочной программой для УОБ (</w:t>
      </w:r>
      <w:r w:rsidRPr="003D6F15">
        <w:rPr>
          <w:rFonts w:ascii="Times New Roman" w:hAnsi="Times New Roman" w:cs="Times New Roman"/>
          <w:sz w:val="24"/>
          <w:szCs w:val="24"/>
          <w:lang w:val="en-US"/>
        </w:rPr>
        <w:t>DRR</w:t>
      </w:r>
      <w:r w:rsidRPr="003D6F15">
        <w:rPr>
          <w:rFonts w:ascii="Times New Roman" w:hAnsi="Times New Roman" w:cs="Times New Roman"/>
          <w:sz w:val="24"/>
          <w:szCs w:val="24"/>
        </w:rPr>
        <w:t>). Увеличение числа национальных правительств, которые принимают и реализуют национальные и местные стратегии УОБ, которые, согласно Сендайской рамочной программе, будут способствовать устойчивому развитию с экономической, экологической и социальной точек зрения.</w:t>
      </w:r>
    </w:p>
    <w:p w14:paraId="3FA3C5B6" w14:textId="77777777" w:rsidR="00001890" w:rsidRPr="00B77AEC" w:rsidRDefault="00001890" w:rsidP="00001890">
      <w:pPr>
        <w:jc w:val="both"/>
        <w:rPr>
          <w:rFonts w:ascii="Times New Roman" w:hAnsi="Times New Roman" w:cs="Times New Roman"/>
          <w:b/>
          <w:sz w:val="24"/>
          <w:szCs w:val="24"/>
        </w:rPr>
      </w:pPr>
      <w:r w:rsidRPr="00B77AEC">
        <w:rPr>
          <w:rFonts w:ascii="Times New Roman" w:hAnsi="Times New Roman" w:cs="Times New Roman"/>
          <w:b/>
          <w:sz w:val="24"/>
          <w:szCs w:val="24"/>
        </w:rPr>
        <w:t>Комментарии и ограничения:</w:t>
      </w:r>
    </w:p>
    <w:p w14:paraId="08E4ABCA"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Инструмент мониторинга Хиогской рамочной программы действий (</w:t>
      </w:r>
      <w:r w:rsidRPr="003D6F15">
        <w:rPr>
          <w:rFonts w:ascii="Times New Roman" w:hAnsi="Times New Roman" w:cs="Times New Roman"/>
          <w:sz w:val="24"/>
          <w:szCs w:val="24"/>
          <w:lang w:val="en-US"/>
        </w:rPr>
        <w:t>HFA</w:t>
      </w:r>
      <w:r w:rsidRPr="003D6F15">
        <w:rPr>
          <w:rFonts w:ascii="Times New Roman" w:hAnsi="Times New Roman" w:cs="Times New Roman"/>
          <w:sz w:val="24"/>
          <w:szCs w:val="24"/>
        </w:rPr>
        <w:t>) начал действие в 2007 году и с течением времени увеличилось число стран, подотчетных МСУОБ ООН, от 60 в 2007 году до 140 стран, которые в настоящее время проводят добровольную самооценку прогресса внедрения Хиогской рамочной программы действий. В течение четырех циклов отчетности до 2015 года инструмент мониторинга Хиогской рамочной программы действий создал крупнейший в мире репозиторий информации о национальной политике в области УОБ, в частности. Преемственная программа, условно названная Сендайским инструментом мониторинга, находится в разработке и будет проинформирован рекомендациями МРГОС (OEIWG). Предполагается, что базовый уровень по состоянию на 2015 год будет создан в 2016-2017 годах, что соответствует прогрессу в достижении целей как Сендайской рамочной программы, так и ЦУР.</w:t>
      </w:r>
    </w:p>
    <w:p w14:paraId="479F2199"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 xml:space="preserve">Члены как МРГОС и Межправительственная рабочая группа по Целям устойчивого развития (IAEG-SDG) обратили внимание на то, что индикаторы, которые просто подсчитывают количество стран, не рекомендуются, вместо этого поощряются показатели для оценки прогресса с течением </w:t>
      </w:r>
      <w:r w:rsidRPr="003D6F15">
        <w:rPr>
          <w:rFonts w:ascii="Times New Roman" w:hAnsi="Times New Roman" w:cs="Times New Roman"/>
          <w:sz w:val="24"/>
          <w:szCs w:val="24"/>
        </w:rPr>
        <w:lastRenderedPageBreak/>
        <w:t>времени. В дополнение к обсуждениям МРГОС, а также Межведомственной экспертной группы, МСУОБ ООН предложила методологию расчета, которая позволит осуществлять мониторинг улучшения национальных и местных стратегий УОБ с течением времени. Эти методологии варьируются от простой количественной оценки этих стратегий до качественной меры согласования с Сендайской рамочной программой, а также охвата населения местными стратегиями.</w:t>
      </w:r>
    </w:p>
    <w:p w14:paraId="3ED8D3C8"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Методология</w:t>
      </w:r>
    </w:p>
    <w:p w14:paraId="1F417A66"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Метод расчета:</w:t>
      </w:r>
    </w:p>
    <w:p w14:paraId="2E014D42"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 xml:space="preserve">Примечание: методика расчета по нескольким показателям комплексна, очень длинная (около 180 страниц) и, вероятно, выходит за рамки этих метаданных. МСУОБ ООН предпочитает сослаться на итоги Межправительственной рабочей группой Открытого состава (МРГОС), которая предоставляет полную подробную методику по каждому показателю. </w:t>
      </w:r>
    </w:p>
    <w:p w14:paraId="02FDAB48"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Последняя версия этой методологии можно получить по адресу:</w:t>
      </w:r>
    </w:p>
    <w:p w14:paraId="58A09583"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lang w:val="en-US"/>
        </w:rPr>
        <w:t>http</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www</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preventionweb</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net</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documents</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oiewg</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Technical</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Collection</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of</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Concept</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Notes</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on</w:t>
      </w:r>
      <w:r w:rsidRPr="003D6F15">
        <w:rPr>
          <w:rFonts w:ascii="Times New Roman" w:hAnsi="Times New Roman" w:cs="Times New Roman"/>
          <w:sz w:val="24"/>
          <w:szCs w:val="24"/>
        </w:rPr>
        <w:t>%20</w:t>
      </w:r>
      <w:r w:rsidRPr="003D6F15">
        <w:rPr>
          <w:rFonts w:ascii="Times New Roman" w:hAnsi="Times New Roman" w:cs="Times New Roman"/>
          <w:sz w:val="24"/>
          <w:szCs w:val="24"/>
          <w:lang w:val="en-US"/>
        </w:rPr>
        <w:t>Indicators</w:t>
      </w:r>
      <w:r w:rsidRPr="003D6F15">
        <w:rPr>
          <w:rFonts w:ascii="Times New Roman" w:hAnsi="Times New Roman" w:cs="Times New Roman"/>
          <w:sz w:val="24"/>
          <w:szCs w:val="24"/>
        </w:rPr>
        <w:t>.</w:t>
      </w:r>
      <w:r w:rsidRPr="003D6F15">
        <w:rPr>
          <w:rFonts w:ascii="Times New Roman" w:hAnsi="Times New Roman" w:cs="Times New Roman"/>
          <w:sz w:val="24"/>
          <w:szCs w:val="24"/>
          <w:lang w:val="en-US"/>
        </w:rPr>
        <w:t>pdf</w:t>
      </w:r>
    </w:p>
    <w:p w14:paraId="2394B0D0" w14:textId="77777777" w:rsidR="00001890" w:rsidRPr="00222577" w:rsidRDefault="00001890" w:rsidP="00001890">
      <w:pPr>
        <w:jc w:val="both"/>
        <w:rPr>
          <w:rFonts w:ascii="Times New Roman" w:hAnsi="Times New Roman" w:cs="Times New Roman"/>
          <w:b/>
          <w:sz w:val="24"/>
          <w:szCs w:val="24"/>
        </w:rPr>
      </w:pPr>
      <w:r w:rsidRPr="00222577">
        <w:rPr>
          <w:rFonts w:ascii="Times New Roman" w:hAnsi="Times New Roman" w:cs="Times New Roman"/>
          <w:b/>
          <w:sz w:val="24"/>
          <w:szCs w:val="24"/>
        </w:rPr>
        <w:t>Краткое резюме:</w:t>
      </w:r>
    </w:p>
    <w:p w14:paraId="1A4FED76"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Аккумулирование данных из национальных докладов (National Progress Reports) о ходе осуществления мониторинга Сендайской рамочной программы.</w:t>
      </w:r>
    </w:p>
    <w:p w14:paraId="07558FCD" w14:textId="77777777" w:rsidR="00001890" w:rsidRPr="00B77AEC" w:rsidRDefault="00001890" w:rsidP="00001890">
      <w:pPr>
        <w:jc w:val="both"/>
        <w:rPr>
          <w:rFonts w:ascii="Times New Roman" w:hAnsi="Times New Roman" w:cs="Times New Roman"/>
          <w:b/>
          <w:sz w:val="24"/>
          <w:szCs w:val="24"/>
        </w:rPr>
      </w:pPr>
      <w:r w:rsidRPr="00BC3EFA">
        <w:rPr>
          <w:rFonts w:ascii="Times New Roman" w:hAnsi="Times New Roman" w:cs="Times New Roman"/>
          <w:b/>
          <w:sz w:val="24"/>
          <w:szCs w:val="24"/>
        </w:rPr>
        <w:t>Дезагрегация</w:t>
      </w:r>
      <w:r w:rsidRPr="00B77AEC">
        <w:rPr>
          <w:rFonts w:ascii="Times New Roman" w:hAnsi="Times New Roman" w:cs="Times New Roman"/>
          <w:b/>
          <w:sz w:val="24"/>
          <w:szCs w:val="24"/>
        </w:rPr>
        <w:t>:</w:t>
      </w:r>
    </w:p>
    <w:p w14:paraId="787A6D55"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По странам</w:t>
      </w:r>
    </w:p>
    <w:p w14:paraId="0BC1491F"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По городу (применение местных административных единиц)</w:t>
      </w:r>
    </w:p>
    <w:p w14:paraId="111EEBD4" w14:textId="77777777" w:rsidR="00001890" w:rsidRPr="003771FF" w:rsidRDefault="00001890" w:rsidP="00001890">
      <w:pPr>
        <w:jc w:val="both"/>
        <w:rPr>
          <w:rFonts w:ascii="Times New Roman" w:hAnsi="Times New Roman" w:cs="Times New Roman"/>
          <w:b/>
          <w:sz w:val="24"/>
          <w:szCs w:val="24"/>
        </w:rPr>
      </w:pPr>
      <w:r w:rsidRPr="003771FF">
        <w:rPr>
          <w:rFonts w:ascii="Times New Roman" w:hAnsi="Times New Roman" w:cs="Times New Roman"/>
          <w:b/>
          <w:sz w:val="24"/>
          <w:szCs w:val="24"/>
        </w:rPr>
        <w:t>Обработка отсутствующих значений:</w:t>
      </w:r>
    </w:p>
    <w:p w14:paraId="6A49D504" w14:textId="77777777" w:rsidR="00001890" w:rsidRPr="003D6F15" w:rsidRDefault="00001890" w:rsidP="00001890">
      <w:pPr>
        <w:pStyle w:val="ListParagraph"/>
        <w:numPr>
          <w:ilvl w:val="0"/>
          <w:numId w:val="1"/>
        </w:numPr>
        <w:jc w:val="both"/>
        <w:rPr>
          <w:rFonts w:ascii="Times New Roman" w:hAnsi="Times New Roman" w:cs="Times New Roman"/>
          <w:sz w:val="24"/>
          <w:szCs w:val="24"/>
        </w:rPr>
      </w:pPr>
      <w:r w:rsidRPr="003D6F15">
        <w:rPr>
          <w:rFonts w:ascii="Times New Roman" w:hAnsi="Times New Roman" w:cs="Times New Roman"/>
          <w:sz w:val="24"/>
          <w:szCs w:val="24"/>
        </w:rPr>
        <w:t>На уровне страны</w:t>
      </w:r>
    </w:p>
    <w:p w14:paraId="2D7DF2B7"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В мониторинге Сендайской программы, который будет проводиться в качестве добровольной самооценки как мониторинг Хиогской рамочной программы (</w:t>
      </w:r>
      <w:r w:rsidRPr="003D6F15">
        <w:rPr>
          <w:rFonts w:ascii="Times New Roman" w:hAnsi="Times New Roman" w:cs="Times New Roman"/>
          <w:sz w:val="24"/>
          <w:szCs w:val="24"/>
          <w:lang w:val="en-US"/>
        </w:rPr>
        <w:t>HFA</w:t>
      </w:r>
      <w:r w:rsidRPr="003D6F15">
        <w:rPr>
          <w:rFonts w:ascii="Times New Roman" w:hAnsi="Times New Roman" w:cs="Times New Roman"/>
          <w:sz w:val="24"/>
          <w:szCs w:val="24"/>
        </w:rPr>
        <w:t>), отсутствующие значения и 0 или нуль будут считаться эквивалентными.</w:t>
      </w:r>
    </w:p>
    <w:p w14:paraId="53D51E69" w14:textId="77777777" w:rsidR="00001890" w:rsidRPr="003D6F15" w:rsidRDefault="00001890" w:rsidP="00001890">
      <w:pPr>
        <w:pStyle w:val="ListParagraph"/>
        <w:numPr>
          <w:ilvl w:val="0"/>
          <w:numId w:val="1"/>
        </w:numPr>
        <w:jc w:val="both"/>
        <w:rPr>
          <w:rFonts w:ascii="Times New Roman" w:hAnsi="Times New Roman" w:cs="Times New Roman"/>
          <w:sz w:val="24"/>
          <w:szCs w:val="24"/>
          <w:lang w:val="en-US"/>
        </w:rPr>
      </w:pPr>
      <w:r w:rsidRPr="003D6F15">
        <w:rPr>
          <w:rFonts w:ascii="Times New Roman" w:hAnsi="Times New Roman" w:cs="Times New Roman"/>
          <w:sz w:val="24"/>
          <w:szCs w:val="24"/>
        </w:rPr>
        <w:t>На глобальном и региональном уровнях</w:t>
      </w:r>
    </w:p>
    <w:p w14:paraId="31FC8A5F"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Не применимо</w:t>
      </w:r>
    </w:p>
    <w:p w14:paraId="40552B63" w14:textId="77777777" w:rsidR="00001890" w:rsidRPr="003771FF" w:rsidRDefault="00001890" w:rsidP="00001890">
      <w:pPr>
        <w:jc w:val="both"/>
        <w:rPr>
          <w:rFonts w:ascii="Times New Roman" w:hAnsi="Times New Roman" w:cs="Times New Roman"/>
          <w:b/>
          <w:sz w:val="24"/>
          <w:szCs w:val="24"/>
        </w:rPr>
      </w:pPr>
      <w:r>
        <w:rPr>
          <w:rFonts w:ascii="Times New Roman" w:hAnsi="Times New Roman" w:cs="Times New Roman"/>
          <w:b/>
          <w:sz w:val="24"/>
          <w:szCs w:val="24"/>
        </w:rPr>
        <w:t>Региональные показатели</w:t>
      </w:r>
      <w:r w:rsidRPr="003771FF">
        <w:rPr>
          <w:rFonts w:ascii="Times New Roman" w:hAnsi="Times New Roman" w:cs="Times New Roman"/>
          <w:b/>
          <w:sz w:val="24"/>
          <w:szCs w:val="24"/>
        </w:rPr>
        <w:t>:</w:t>
      </w:r>
    </w:p>
    <w:p w14:paraId="1E6E5CBE"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См. Раздел «Методология расчета».</w:t>
      </w:r>
    </w:p>
    <w:p w14:paraId="0AE8AE75"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Он будет рассчитываться, по усмотрению МРГОС, либо как линейное среднее индекса, описанного в 3.3, либо как средневзвешенное значение индекса, умноженное на население страны, разделенное на население мира.</w:t>
      </w:r>
    </w:p>
    <w:p w14:paraId="1B797248" w14:textId="77777777" w:rsidR="00001890" w:rsidRPr="00B77AEC" w:rsidRDefault="00001890" w:rsidP="00001890">
      <w:pPr>
        <w:jc w:val="both"/>
        <w:rPr>
          <w:rFonts w:ascii="Times New Roman" w:hAnsi="Times New Roman" w:cs="Times New Roman"/>
          <w:b/>
          <w:sz w:val="24"/>
          <w:szCs w:val="24"/>
        </w:rPr>
      </w:pPr>
      <w:r w:rsidRPr="00B77AEC">
        <w:rPr>
          <w:rFonts w:ascii="Times New Roman" w:hAnsi="Times New Roman" w:cs="Times New Roman"/>
          <w:b/>
          <w:sz w:val="24"/>
          <w:szCs w:val="24"/>
        </w:rPr>
        <w:lastRenderedPageBreak/>
        <w:t>Источники расхождений:</w:t>
      </w:r>
    </w:p>
    <w:p w14:paraId="1D21FB57"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Глобальная база данных не собирает информацию о политике в области УОБ, кроме Мониторинга Хиогской рамочной программы (HFA) и последующего Мониторинга Сендайской рамочной программы.</w:t>
      </w:r>
    </w:p>
    <w:p w14:paraId="3BB40183"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Источники данных</w:t>
      </w:r>
    </w:p>
    <w:p w14:paraId="03AACE51"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Описание:</w:t>
      </w:r>
    </w:p>
    <w:p w14:paraId="4AB9B717"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Национальный отчет о прогрессе Мониторинга Сендайской рамочной программы, который был представлен в МСУОБ ООН.</w:t>
      </w:r>
    </w:p>
    <w:p w14:paraId="51B1DA00"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Процесс сбора:</w:t>
      </w:r>
    </w:p>
    <w:p w14:paraId="2F051A60"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Официальный партнер(ы) на уровне страны предоставляют национальный отчет о прогрессе в Мониторинге Сендайской рамочной программы.</w:t>
      </w:r>
    </w:p>
    <w:p w14:paraId="71D1AFAF"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Доступность данных</w:t>
      </w:r>
    </w:p>
    <w:p w14:paraId="144DD279"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Описание:</w:t>
      </w:r>
    </w:p>
    <w:p w14:paraId="08903637"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Около 100 стран</w:t>
      </w:r>
    </w:p>
    <w:p w14:paraId="1F7C8FAF"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Мониторинг Хиогской рамочной программы (</w:t>
      </w:r>
      <w:r w:rsidRPr="003D6F15">
        <w:rPr>
          <w:rFonts w:ascii="Times New Roman" w:hAnsi="Times New Roman" w:cs="Times New Roman"/>
          <w:sz w:val="24"/>
          <w:szCs w:val="24"/>
          <w:lang w:val="en-US"/>
        </w:rPr>
        <w:t>HFA</w:t>
      </w:r>
      <w:r w:rsidRPr="003D6F15">
        <w:rPr>
          <w:rFonts w:ascii="Times New Roman" w:hAnsi="Times New Roman" w:cs="Times New Roman"/>
          <w:sz w:val="24"/>
          <w:szCs w:val="24"/>
        </w:rPr>
        <w:t>) начался в 2007 году и с течением времени число стран, подотчетных МСУОБ ООН, увеличилось с 60 в 2007 году до 140 стран, которые в настоящее время проводят добровольную самооценку прогресса в осуществлении Хиогской рамочной программы. Учитывая требования к стратегиям уменьшения опасности бедствий, закрепленные в отчетности по ЦУР и целевым показателям Соглашения Сэндайской рамочной программы, ожидается, что к 2020 году все государства-члены будут сообщать о своих стратегиях по УОБ в соответствии 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
    <w:p w14:paraId="08A0ECCB" w14:textId="77777777" w:rsidR="00001890" w:rsidRPr="00BA6544" w:rsidRDefault="00001890" w:rsidP="00001890">
      <w:pPr>
        <w:jc w:val="both"/>
        <w:rPr>
          <w:rFonts w:ascii="Times New Roman" w:hAnsi="Times New Roman" w:cs="Times New Roman"/>
          <w:b/>
          <w:sz w:val="24"/>
          <w:szCs w:val="24"/>
        </w:rPr>
      </w:pPr>
      <w:r w:rsidRPr="00BA6544">
        <w:rPr>
          <w:rFonts w:ascii="Times New Roman" w:hAnsi="Times New Roman" w:cs="Times New Roman"/>
          <w:b/>
          <w:sz w:val="24"/>
          <w:szCs w:val="24"/>
        </w:rPr>
        <w:t>Временные ряды:</w:t>
      </w:r>
    </w:p>
    <w:p w14:paraId="20A8CE69"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2013 и 2015 годы: мониторинг Хиогской рамочной программы (</w:t>
      </w:r>
      <w:r w:rsidRPr="003D6F15">
        <w:rPr>
          <w:rFonts w:ascii="Times New Roman" w:hAnsi="Times New Roman" w:cs="Times New Roman"/>
          <w:sz w:val="24"/>
          <w:szCs w:val="24"/>
          <w:lang w:val="en-US"/>
        </w:rPr>
        <w:t>HFA</w:t>
      </w:r>
      <w:r w:rsidRPr="003D6F15">
        <w:rPr>
          <w:rFonts w:ascii="Times New Roman" w:hAnsi="Times New Roman" w:cs="Times New Roman"/>
          <w:sz w:val="24"/>
          <w:szCs w:val="24"/>
        </w:rPr>
        <w:t>)</w:t>
      </w:r>
    </w:p>
    <w:p w14:paraId="0703617F"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Календарь</w:t>
      </w:r>
    </w:p>
    <w:p w14:paraId="27C00653"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Сбор данных:</w:t>
      </w:r>
    </w:p>
    <w:p w14:paraId="0CBF790B"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2017-2018</w:t>
      </w:r>
    </w:p>
    <w:p w14:paraId="28935B23"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Выпуск данных:</w:t>
      </w:r>
    </w:p>
    <w:p w14:paraId="381C13C6"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Первоначальные наборы данных в 2017 году, первый полный набор данных к 2019 году</w:t>
      </w:r>
    </w:p>
    <w:p w14:paraId="282F6667" w14:textId="77777777" w:rsidR="00001890" w:rsidRPr="003D6F15" w:rsidRDefault="00001890" w:rsidP="00001890">
      <w:pPr>
        <w:jc w:val="both"/>
        <w:rPr>
          <w:rFonts w:ascii="Times New Roman" w:hAnsi="Times New Roman" w:cs="Times New Roman"/>
          <w:b/>
          <w:sz w:val="24"/>
          <w:szCs w:val="24"/>
        </w:rPr>
      </w:pPr>
      <w:r>
        <w:rPr>
          <w:rFonts w:ascii="Times New Roman" w:hAnsi="Times New Roman" w:cs="Times New Roman"/>
          <w:b/>
          <w:sz w:val="24"/>
          <w:szCs w:val="24"/>
        </w:rPr>
        <w:t>Поставщики</w:t>
      </w:r>
      <w:r w:rsidRPr="003D6F15">
        <w:rPr>
          <w:rFonts w:ascii="Times New Roman" w:hAnsi="Times New Roman" w:cs="Times New Roman"/>
          <w:b/>
          <w:sz w:val="24"/>
          <w:szCs w:val="24"/>
        </w:rPr>
        <w:t xml:space="preserve"> данных</w:t>
      </w:r>
    </w:p>
    <w:p w14:paraId="3D783E3B" w14:textId="77777777" w:rsidR="00001890" w:rsidRPr="003D6F15" w:rsidRDefault="00001890" w:rsidP="00001890">
      <w:pPr>
        <w:jc w:val="both"/>
        <w:rPr>
          <w:rFonts w:ascii="Times New Roman" w:hAnsi="Times New Roman" w:cs="Times New Roman"/>
          <w:sz w:val="24"/>
          <w:szCs w:val="24"/>
        </w:rPr>
      </w:pPr>
      <w:r>
        <w:rPr>
          <w:rFonts w:ascii="Times New Roman" w:hAnsi="Times New Roman" w:cs="Times New Roman"/>
          <w:sz w:val="24"/>
          <w:szCs w:val="24"/>
        </w:rPr>
        <w:t>Наименование:</w:t>
      </w:r>
    </w:p>
    <w:p w14:paraId="48F83BD8"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lastRenderedPageBreak/>
        <w:t>Координирующее ведущее учреждение, возглавляющее Национальную платформу по УОБ, которое состоит из специальных агентств, включая национальные агентства по борьбе со стихийными бедствиями, агентства гражданской защиты и метеорологические агентства.</w:t>
      </w:r>
    </w:p>
    <w:p w14:paraId="761CA236"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Описание:</w:t>
      </w:r>
    </w:p>
    <w:p w14:paraId="4387DC2A"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Координирующее ведущее учреждение, возглавляющее Национальную платформу по УОБ, которое состоит из специальных агентств, включая национальные агентства по борьбе со стихийными бедствиями, агентства гражданской защиты и метеорологические агентства.</w:t>
      </w:r>
    </w:p>
    <w:p w14:paraId="4E161C7C" w14:textId="77777777" w:rsidR="00001890" w:rsidRPr="003D6F15" w:rsidRDefault="00001890" w:rsidP="00001890">
      <w:pPr>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3D6F15">
        <w:rPr>
          <w:rFonts w:ascii="Times New Roman" w:hAnsi="Times New Roman" w:cs="Times New Roman"/>
          <w:b/>
          <w:sz w:val="24"/>
          <w:szCs w:val="24"/>
        </w:rPr>
        <w:t xml:space="preserve"> данных</w:t>
      </w:r>
    </w:p>
    <w:p w14:paraId="414FAA19"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МСУОБ ООН (UNISDR)</w:t>
      </w:r>
    </w:p>
    <w:p w14:paraId="283D4DE3" w14:textId="77777777" w:rsidR="00001890" w:rsidRPr="003D6F15" w:rsidRDefault="00001890" w:rsidP="00001890">
      <w:pPr>
        <w:jc w:val="both"/>
        <w:rPr>
          <w:rFonts w:ascii="Times New Roman" w:hAnsi="Times New Roman" w:cs="Times New Roman"/>
          <w:b/>
          <w:sz w:val="24"/>
          <w:szCs w:val="24"/>
        </w:rPr>
      </w:pPr>
      <w:r w:rsidRPr="003D6F15">
        <w:rPr>
          <w:rFonts w:ascii="Times New Roman" w:hAnsi="Times New Roman" w:cs="Times New Roman"/>
          <w:b/>
          <w:sz w:val="24"/>
          <w:szCs w:val="24"/>
        </w:rPr>
        <w:t>Рекомендации</w:t>
      </w:r>
    </w:p>
    <w:p w14:paraId="52E1B7E8" w14:textId="77777777" w:rsidR="00001890" w:rsidRPr="003D6F15" w:rsidRDefault="00001890" w:rsidP="00001890">
      <w:pPr>
        <w:jc w:val="both"/>
        <w:rPr>
          <w:rFonts w:ascii="Times New Roman" w:hAnsi="Times New Roman" w:cs="Times New Roman"/>
          <w:color w:val="000000" w:themeColor="text1"/>
          <w:sz w:val="24"/>
          <w:szCs w:val="24"/>
        </w:rPr>
      </w:pPr>
      <w:r w:rsidRPr="003D6F15">
        <w:rPr>
          <w:rFonts w:ascii="Times New Roman" w:hAnsi="Times New Roman" w:cs="Times New Roman"/>
          <w:sz w:val="24"/>
          <w:szCs w:val="24"/>
          <w:lang w:val="en-US"/>
        </w:rPr>
        <w:t>URL</w:t>
      </w:r>
      <w:r w:rsidRPr="003D6F15">
        <w:rPr>
          <w:rFonts w:ascii="Times New Roman" w:hAnsi="Times New Roman" w:cs="Times New Roman"/>
          <w:sz w:val="24"/>
          <w:szCs w:val="24"/>
        </w:rPr>
        <w:t xml:space="preserve">: </w:t>
      </w:r>
      <w:hyperlink r:id="rId5" w:history="1">
        <w:r w:rsidRPr="003D6F15">
          <w:rPr>
            <w:rStyle w:val="Hyperlink"/>
            <w:rFonts w:ascii="Times New Roman" w:hAnsi="Times New Roman" w:cs="Times New Roman"/>
            <w:color w:val="000000" w:themeColor="text1"/>
            <w:sz w:val="24"/>
            <w:szCs w:val="24"/>
            <w:u w:val="none"/>
            <w:lang w:val="en-US"/>
          </w:rPr>
          <w:t>http</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www</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preventionweb</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net</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documents</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oiewg</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Technical</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Collection</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of</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Concept</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Notes</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on</w:t>
        </w:r>
        <w:r w:rsidRPr="003D6F15">
          <w:rPr>
            <w:rStyle w:val="Hyperlink"/>
            <w:rFonts w:ascii="Times New Roman" w:hAnsi="Times New Roman" w:cs="Times New Roman"/>
            <w:color w:val="000000" w:themeColor="text1"/>
            <w:sz w:val="24"/>
            <w:szCs w:val="24"/>
            <w:u w:val="none"/>
          </w:rPr>
          <w:t>%20</w:t>
        </w:r>
        <w:r w:rsidRPr="003D6F15">
          <w:rPr>
            <w:rStyle w:val="Hyperlink"/>
            <w:rFonts w:ascii="Times New Roman" w:hAnsi="Times New Roman" w:cs="Times New Roman"/>
            <w:color w:val="000000" w:themeColor="text1"/>
            <w:sz w:val="24"/>
            <w:szCs w:val="24"/>
            <w:u w:val="none"/>
            <w:lang w:val="en-US"/>
          </w:rPr>
          <w:t>Indicators</w:t>
        </w:r>
        <w:r w:rsidRPr="003D6F15">
          <w:rPr>
            <w:rStyle w:val="Hyperlink"/>
            <w:rFonts w:ascii="Times New Roman" w:hAnsi="Times New Roman" w:cs="Times New Roman"/>
            <w:color w:val="000000" w:themeColor="text1"/>
            <w:sz w:val="24"/>
            <w:szCs w:val="24"/>
            <w:u w:val="none"/>
          </w:rPr>
          <w:t>.</w:t>
        </w:r>
        <w:r w:rsidRPr="003D6F15">
          <w:rPr>
            <w:rStyle w:val="Hyperlink"/>
            <w:rFonts w:ascii="Times New Roman" w:hAnsi="Times New Roman" w:cs="Times New Roman"/>
            <w:color w:val="000000" w:themeColor="text1"/>
            <w:sz w:val="24"/>
            <w:szCs w:val="24"/>
            <w:u w:val="none"/>
            <w:lang w:val="en-US"/>
          </w:rPr>
          <w:t>pdf</w:t>
        </w:r>
      </w:hyperlink>
    </w:p>
    <w:p w14:paraId="38593332"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Организацией Объединенных Наций было поручено создание Межправительственной рабочей группы экспертов открытого состава по показателям и терминологии, касающейся уменьшения опасности бедствий (OEIWG), для разработки набора показателей для измерения глобального прогресса в осуществлении Сендайской рамочной программы по снижению риска бедствий, включая семь глобальных целей. Работа OEIWG должна быть завершена к декабрю 2016 года, а ее доклад представлен Генеральной Ассамблее для рассмотрения. Межправительственная рабочая группа по Целям устойчивого развития IAEG-SDG и Статистическая комиссия ООН формально признают роль OEIWG и возлагают ответственность за дальнейшее уточнение и разработку методологии для индикаторов ЦУР, связанных с бедствиями на данную рабочую группу.</w:t>
      </w:r>
    </w:p>
    <w:p w14:paraId="510DDEED"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http://www.preventionweb.net/drr-framework/open-ended-working-group/</w:t>
      </w:r>
    </w:p>
    <w:p w14:paraId="1C2E1B2B"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Последняя версия документов находится по адресу:</w:t>
      </w:r>
    </w:p>
    <w:p w14:paraId="2FD4F7C5" w14:textId="77777777" w:rsidR="00001890" w:rsidRPr="003D6F15" w:rsidRDefault="00001890" w:rsidP="00001890">
      <w:pPr>
        <w:jc w:val="both"/>
        <w:rPr>
          <w:rFonts w:ascii="Times New Roman" w:hAnsi="Times New Roman" w:cs="Times New Roman"/>
          <w:color w:val="000000" w:themeColor="text1"/>
          <w:sz w:val="24"/>
          <w:szCs w:val="24"/>
        </w:rPr>
      </w:pPr>
      <w:hyperlink r:id="rId6" w:history="1">
        <w:r w:rsidRPr="003D6F15">
          <w:rPr>
            <w:rStyle w:val="Hyperlink"/>
            <w:rFonts w:ascii="Times New Roman" w:hAnsi="Times New Roman" w:cs="Times New Roman"/>
            <w:color w:val="000000" w:themeColor="text1"/>
            <w:sz w:val="24"/>
            <w:szCs w:val="24"/>
            <w:u w:val="none"/>
          </w:rPr>
          <w:t>http://www.preventionweb.net/drr-framework/open-ended-working-group/sessional-intersessionaldocuments</w:t>
        </w:r>
      </w:hyperlink>
    </w:p>
    <w:p w14:paraId="18320E6B" w14:textId="77777777" w:rsidR="00001890" w:rsidRPr="003D6F15" w:rsidRDefault="00001890" w:rsidP="00001890">
      <w:pPr>
        <w:spacing w:after="0"/>
        <w:jc w:val="both"/>
        <w:rPr>
          <w:rFonts w:ascii="Times New Roman" w:hAnsi="Times New Roman" w:cs="Times New Roman"/>
          <w:b/>
          <w:sz w:val="24"/>
          <w:szCs w:val="24"/>
        </w:rPr>
      </w:pPr>
      <w:r w:rsidRPr="003D6F15">
        <w:rPr>
          <w:rFonts w:ascii="Times New Roman" w:hAnsi="Times New Roman" w:cs="Times New Roman"/>
          <w:b/>
          <w:sz w:val="24"/>
          <w:szCs w:val="24"/>
        </w:rPr>
        <w:t>Связанные показатели</w:t>
      </w:r>
    </w:p>
    <w:p w14:paraId="535FEE25" w14:textId="77777777" w:rsidR="00001890" w:rsidRPr="003D6F15" w:rsidRDefault="00001890" w:rsidP="00001890">
      <w:pPr>
        <w:jc w:val="both"/>
        <w:rPr>
          <w:rFonts w:ascii="Times New Roman" w:hAnsi="Times New Roman" w:cs="Times New Roman"/>
          <w:sz w:val="24"/>
          <w:szCs w:val="24"/>
        </w:rPr>
      </w:pPr>
      <w:r w:rsidRPr="003D6F15">
        <w:rPr>
          <w:rFonts w:ascii="Times New Roman" w:hAnsi="Times New Roman" w:cs="Times New Roman"/>
          <w:sz w:val="24"/>
          <w:szCs w:val="24"/>
        </w:rPr>
        <w:t>1.5; 11.5; 11.b; 13.1; 2.4; 3.6; 3.9; 3.d; 4.a; 6.6; 9.1; 9.a; 11.1; 11.3; 11.c; 13.2; 13.3; 13.a; 13.b; 14.2; 15.1;15.2; 15.3; 15.9.</w:t>
      </w:r>
    </w:p>
    <w:p w14:paraId="1F611E14" w14:textId="26A783A3" w:rsidR="00DC1038" w:rsidRPr="00001890" w:rsidRDefault="00DC1038" w:rsidP="00001890">
      <w:bookmarkStart w:id="0" w:name="_GoBack"/>
      <w:bookmarkEnd w:id="0"/>
    </w:p>
    <w:sectPr w:rsidR="00DC1038" w:rsidRPr="00001890" w:rsidSect="005168F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74CF8"/>
    <w:multiLevelType w:val="hybridMultilevel"/>
    <w:tmpl w:val="8000E804"/>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168F0"/>
    <w:rsid w:val="00001890"/>
    <w:rsid w:val="00002479"/>
    <w:rsid w:val="00022424"/>
    <w:rsid w:val="000A0353"/>
    <w:rsid w:val="000F4D42"/>
    <w:rsid w:val="00222577"/>
    <w:rsid w:val="002C628E"/>
    <w:rsid w:val="00302415"/>
    <w:rsid w:val="00323FAE"/>
    <w:rsid w:val="00357215"/>
    <w:rsid w:val="003771FF"/>
    <w:rsid w:val="003D6F15"/>
    <w:rsid w:val="004029FD"/>
    <w:rsid w:val="0047116C"/>
    <w:rsid w:val="00487E6A"/>
    <w:rsid w:val="004A6014"/>
    <w:rsid w:val="004E7590"/>
    <w:rsid w:val="005168F0"/>
    <w:rsid w:val="005A047E"/>
    <w:rsid w:val="00692BB9"/>
    <w:rsid w:val="006A4293"/>
    <w:rsid w:val="006C69C5"/>
    <w:rsid w:val="00755843"/>
    <w:rsid w:val="007A7BCA"/>
    <w:rsid w:val="007C26F9"/>
    <w:rsid w:val="007E4DD3"/>
    <w:rsid w:val="007F6A5D"/>
    <w:rsid w:val="00890DBD"/>
    <w:rsid w:val="008D40A6"/>
    <w:rsid w:val="008E7BC0"/>
    <w:rsid w:val="008F1F23"/>
    <w:rsid w:val="009434C6"/>
    <w:rsid w:val="00944D72"/>
    <w:rsid w:val="009D7885"/>
    <w:rsid w:val="00A24CE9"/>
    <w:rsid w:val="00B5226D"/>
    <w:rsid w:val="00B77AEC"/>
    <w:rsid w:val="00BA6544"/>
    <w:rsid w:val="00BB6621"/>
    <w:rsid w:val="00BC3EFA"/>
    <w:rsid w:val="00C26F8A"/>
    <w:rsid w:val="00CB6C70"/>
    <w:rsid w:val="00CC12A6"/>
    <w:rsid w:val="00DC1038"/>
    <w:rsid w:val="00E07C1C"/>
    <w:rsid w:val="00E8777C"/>
    <w:rsid w:val="00FB4A8F"/>
    <w:rsid w:val="00FF7F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3B41"/>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14"/>
    <w:pPr>
      <w:ind w:left="720"/>
      <w:contextualSpacing/>
    </w:pPr>
  </w:style>
  <w:style w:type="character" w:styleId="Hyperlink">
    <w:name w:val="Hyperlink"/>
    <w:basedOn w:val="DefaultParagraphFont"/>
    <w:uiPriority w:val="99"/>
    <w:unhideWhenUsed/>
    <w:rsid w:val="00A24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ionweb.net/drr-framework/open-ended-working-group/sessional-intersessionaldocuments" TargetMode="External"/><Relationship Id="rId5" Type="http://schemas.openxmlformats.org/officeDocument/2006/relationships/hyperlink" Target="http://www.preventionweb.net/documents/oiewg/Technical%20Collection%20of%20Concept%20Notes%20on%20Indicators.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17</cp:revision>
  <dcterms:created xsi:type="dcterms:W3CDTF">2017-05-30T12:06:00Z</dcterms:created>
  <dcterms:modified xsi:type="dcterms:W3CDTF">2021-08-19T17:06:00Z</dcterms:modified>
</cp:coreProperties>
</file>