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96672" w14:textId="77777777" w:rsidR="00887763" w:rsidRPr="00887763" w:rsidRDefault="00887763" w:rsidP="00887763">
      <w:pPr>
        <w:spacing w:after="200"/>
        <w:jc w:val="both"/>
        <w:rPr>
          <w:rFonts w:ascii="Times New Roman" w:hAnsi="Times New Roman" w:cs="Times New Roman"/>
          <w:b/>
          <w:sz w:val="24"/>
          <w:szCs w:val="24"/>
        </w:rPr>
      </w:pPr>
      <w:r w:rsidRPr="00F45134">
        <w:rPr>
          <w:rFonts w:ascii="Times New Roman" w:hAnsi="Times New Roman" w:cs="Times New Roman"/>
          <w:b/>
          <w:sz w:val="24"/>
          <w:szCs w:val="24"/>
        </w:rPr>
        <w:t>Цель 11: Обеспечение открытости, безопасности, жизнестойкости и экологической устойчивости городов и населенных пунктов</w:t>
      </w:r>
    </w:p>
    <w:p w14:paraId="552C178D" w14:textId="77777777" w:rsidR="00887763" w:rsidRPr="00887763" w:rsidRDefault="00887763" w:rsidP="00887763">
      <w:pPr>
        <w:spacing w:after="200"/>
        <w:jc w:val="both"/>
        <w:rPr>
          <w:rFonts w:ascii="Times New Roman" w:hAnsi="Times New Roman" w:cs="Times New Roman"/>
          <w:b/>
          <w:sz w:val="24"/>
          <w:szCs w:val="24"/>
        </w:rPr>
      </w:pPr>
      <w:r w:rsidRPr="00C97707">
        <w:rPr>
          <w:rFonts w:ascii="Times New Roman" w:hAnsi="Times New Roman" w:cs="Times New Roman"/>
          <w:b/>
          <w:sz w:val="24"/>
          <w:szCs w:val="24"/>
        </w:rPr>
        <w:t>11.</w:t>
      </w:r>
      <w:r>
        <w:rPr>
          <w:rFonts w:ascii="Times New Roman" w:hAnsi="Times New Roman" w:cs="Times New Roman"/>
          <w:b/>
          <w:sz w:val="24"/>
          <w:szCs w:val="24"/>
          <w:lang w:val="en-US"/>
        </w:rPr>
        <w:t>b</w:t>
      </w:r>
      <w:r w:rsidRPr="00C97707">
        <w:rPr>
          <w:rFonts w:ascii="Times New Roman" w:hAnsi="Times New Roman" w:cs="Times New Roman"/>
          <w:b/>
          <w:sz w:val="24"/>
          <w:szCs w:val="24"/>
        </w:rPr>
        <w:t xml:space="preserve"> К 2020 году значительно увеличить число городов и населенных пунктов, принявших и осуществляющих комплексные стратегии и планы, направленные на устранение социальных барьеров, повышение эффективности использования ресурсов, смягчение последствий изменения климата, адаптацию к его изменению и способность противостоять стихийным бедствиям, и разработать и внедрить в соответствии с Сендайской рамочной программой по снижению риска бедствий на 2015–2030 годы меры по комплексному управлению связанными с бедствиями рисками на всех уровнях</w:t>
      </w:r>
    </w:p>
    <w:p w14:paraId="17906B0B" w14:textId="77777777" w:rsidR="00887763" w:rsidRPr="00C97707" w:rsidRDefault="00887763" w:rsidP="00887763">
      <w:pPr>
        <w:spacing w:after="200"/>
        <w:jc w:val="both"/>
        <w:rPr>
          <w:rFonts w:ascii="Times New Roman" w:hAnsi="Times New Roman" w:cs="Times New Roman"/>
          <w:b/>
          <w:sz w:val="24"/>
          <w:szCs w:val="24"/>
        </w:rPr>
      </w:pPr>
      <w:r w:rsidRPr="00C97707">
        <w:rPr>
          <w:rFonts w:ascii="Times New Roman" w:hAnsi="Times New Roman" w:cs="Times New Roman"/>
          <w:b/>
          <w:sz w:val="24"/>
          <w:szCs w:val="24"/>
        </w:rPr>
        <w:t>11.</w:t>
      </w:r>
      <w:r w:rsidRPr="00C97707">
        <w:rPr>
          <w:rFonts w:ascii="Times New Roman" w:hAnsi="Times New Roman" w:cs="Times New Roman"/>
          <w:b/>
          <w:sz w:val="24"/>
          <w:szCs w:val="24"/>
          <w:lang w:val="en-US"/>
        </w:rPr>
        <w:t>b</w:t>
      </w:r>
      <w:r w:rsidRPr="00C97707">
        <w:rPr>
          <w:rFonts w:ascii="Times New Roman" w:hAnsi="Times New Roman" w:cs="Times New Roman"/>
          <w:b/>
          <w:sz w:val="24"/>
          <w:szCs w:val="24"/>
        </w:rPr>
        <w:t>.2 Доля местных органов власти, принявших и осуществляющих местные стратегии снижения риска бедствий в соответствии с национальными стратегиями снижения риска бедствий</w:t>
      </w:r>
    </w:p>
    <w:p w14:paraId="1A675147" w14:textId="77777777" w:rsidR="00887763" w:rsidRPr="00C97707" w:rsidRDefault="00887763" w:rsidP="00887763">
      <w:pPr>
        <w:jc w:val="both"/>
        <w:rPr>
          <w:rFonts w:ascii="Times New Roman" w:hAnsi="Times New Roman" w:cs="Times New Roman"/>
          <w:b/>
          <w:sz w:val="24"/>
          <w:szCs w:val="24"/>
        </w:rPr>
      </w:pPr>
      <w:r w:rsidRPr="00C97707">
        <w:rPr>
          <w:rFonts w:ascii="Times New Roman" w:hAnsi="Times New Roman" w:cs="Times New Roman"/>
          <w:b/>
          <w:sz w:val="24"/>
          <w:szCs w:val="24"/>
        </w:rPr>
        <w:t>Институциональная информация</w:t>
      </w:r>
    </w:p>
    <w:p w14:paraId="08A5C0D3"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Организация(и):</w:t>
      </w:r>
    </w:p>
    <w:p w14:paraId="59E322B0"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Управление Организации Объединенных Наций по уменьшению опасности бедствий (МСУОБ ООН)</w:t>
      </w:r>
    </w:p>
    <w:p w14:paraId="79B69113" w14:textId="77777777" w:rsidR="00887763" w:rsidRPr="00A10700" w:rsidRDefault="00887763" w:rsidP="00887763">
      <w:pPr>
        <w:jc w:val="both"/>
        <w:rPr>
          <w:rFonts w:ascii="Times New Roman" w:hAnsi="Times New Roman" w:cs="Times New Roman"/>
          <w:b/>
          <w:sz w:val="24"/>
          <w:szCs w:val="24"/>
        </w:rPr>
      </w:pPr>
      <w:r w:rsidRPr="00A10700">
        <w:rPr>
          <w:rFonts w:ascii="Times New Roman" w:hAnsi="Times New Roman" w:cs="Times New Roman"/>
          <w:b/>
          <w:sz w:val="24"/>
          <w:szCs w:val="24"/>
        </w:rPr>
        <w:t>Концепции и определения</w:t>
      </w:r>
    </w:p>
    <w:p w14:paraId="6BE88F9E"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Определение:</w:t>
      </w:r>
    </w:p>
    <w:p w14:paraId="53DA9B34"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Не применимо</w:t>
      </w:r>
    </w:p>
    <w:p w14:paraId="04810F02" w14:textId="77777777" w:rsidR="00887763" w:rsidRPr="00CC5D1F"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 xml:space="preserve">[a] Межправительственная рабочая группа экспертов открытого состава по показателям и терминологии, касающейся уменьшения опасности бедствий, созданная Генеральной Ассамблеей (резолюция 69/284), разрабатывает комплекс показателей для оценки глобального прогресса в реализации Сендайской рамочной программы. </w:t>
      </w:r>
      <w:r w:rsidRPr="00CC5D1F">
        <w:rPr>
          <w:rFonts w:ascii="Times New Roman" w:hAnsi="Times New Roman" w:cs="Times New Roman"/>
          <w:sz w:val="24"/>
          <w:szCs w:val="24"/>
        </w:rPr>
        <w:t>Эти показатели в конечном итоге будут отражать соглашения по показателям Сендайской рамочной программы.</w:t>
      </w:r>
    </w:p>
    <w:p w14:paraId="66296F87"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Обоснование:</w:t>
      </w:r>
    </w:p>
    <w:p w14:paraId="5EA889E6" w14:textId="77777777" w:rsidR="00887763" w:rsidRPr="00CC5D1F" w:rsidRDefault="00887763" w:rsidP="00887763">
      <w:pPr>
        <w:jc w:val="both"/>
        <w:rPr>
          <w:rFonts w:ascii="Times New Roman" w:hAnsi="Times New Roman" w:cs="Times New Roman"/>
          <w:sz w:val="24"/>
          <w:szCs w:val="24"/>
        </w:rPr>
      </w:pPr>
      <w:r w:rsidRPr="00CC5D1F">
        <w:rPr>
          <w:rFonts w:ascii="Times New Roman" w:hAnsi="Times New Roman" w:cs="Times New Roman"/>
          <w:sz w:val="24"/>
          <w:szCs w:val="24"/>
        </w:rPr>
        <w:t>Показатель построит мост между ЦУР и Сендайской рамочной программе по СРБ. Все большее число национальных правительств, которые принимают и осуществляют национальные и местные стратегии СРБ, к которым призывает Сендайская рамочная программа, будут способствовать устойчивому развитию с экономической, экологической и социальной точек зрения.</w:t>
      </w:r>
    </w:p>
    <w:p w14:paraId="02BF2010"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Комментарии и ограничения:</w:t>
      </w:r>
    </w:p>
    <w:p w14:paraId="793DC1AD" w14:textId="77777777" w:rsidR="00887763" w:rsidRPr="00601CDD" w:rsidRDefault="00887763" w:rsidP="00887763">
      <w:pPr>
        <w:jc w:val="both"/>
        <w:rPr>
          <w:rFonts w:ascii="Times New Roman" w:hAnsi="Times New Roman" w:cs="Times New Roman"/>
          <w:sz w:val="24"/>
          <w:szCs w:val="24"/>
        </w:rPr>
      </w:pPr>
      <w:r w:rsidRPr="00CC5D1F">
        <w:rPr>
          <w:rFonts w:ascii="Times New Roman" w:hAnsi="Times New Roman" w:cs="Times New Roman"/>
          <w:sz w:val="24"/>
          <w:szCs w:val="24"/>
        </w:rPr>
        <w:t xml:space="preserve">За время действия программы </w:t>
      </w:r>
      <w:r w:rsidRPr="00A10700">
        <w:rPr>
          <w:rFonts w:ascii="Times New Roman" w:hAnsi="Times New Roman" w:cs="Times New Roman"/>
          <w:sz w:val="24"/>
          <w:szCs w:val="24"/>
        </w:rPr>
        <w:t>HFA</w:t>
      </w:r>
      <w:r w:rsidRPr="00CC5D1F">
        <w:rPr>
          <w:rFonts w:ascii="Times New Roman" w:hAnsi="Times New Roman" w:cs="Times New Roman"/>
          <w:sz w:val="24"/>
          <w:szCs w:val="24"/>
        </w:rPr>
        <w:t xml:space="preserve"> </w:t>
      </w:r>
      <w:r w:rsidRPr="00A10700">
        <w:rPr>
          <w:rFonts w:ascii="Times New Roman" w:hAnsi="Times New Roman" w:cs="Times New Roman"/>
          <w:sz w:val="24"/>
          <w:szCs w:val="24"/>
        </w:rPr>
        <w:t>Monitor</w:t>
      </w:r>
      <w:r w:rsidRPr="00CC5D1F">
        <w:rPr>
          <w:rFonts w:ascii="Times New Roman" w:hAnsi="Times New Roman" w:cs="Times New Roman"/>
          <w:sz w:val="24"/>
          <w:szCs w:val="24"/>
        </w:rPr>
        <w:t xml:space="preserve">, начавшейся в 2007 году, число стран, предоставляющих информацию </w:t>
      </w:r>
      <w:r w:rsidRPr="00A10700">
        <w:rPr>
          <w:rFonts w:ascii="Times New Roman" w:hAnsi="Times New Roman" w:cs="Times New Roman"/>
          <w:sz w:val="24"/>
          <w:szCs w:val="24"/>
        </w:rPr>
        <w:t xml:space="preserve">МСУОБ ООН, возросло с 60 в 2007 году до 140+ стран, которые в настоящее время проводят добровольную самостоятельную оценку прогресса в осуществлении HFA. </w:t>
      </w:r>
      <w:r w:rsidRPr="00CC5D1F">
        <w:rPr>
          <w:rFonts w:ascii="Times New Roman" w:hAnsi="Times New Roman" w:cs="Times New Roman"/>
          <w:sz w:val="24"/>
          <w:szCs w:val="24"/>
        </w:rPr>
        <w:t xml:space="preserve">Кроме этого, в течение четырех циклов отчетности до 2015 года </w:t>
      </w:r>
      <w:r w:rsidRPr="00A10700">
        <w:rPr>
          <w:rFonts w:ascii="Times New Roman" w:hAnsi="Times New Roman" w:cs="Times New Roman"/>
          <w:sz w:val="24"/>
          <w:szCs w:val="24"/>
        </w:rPr>
        <w:t>HFA</w:t>
      </w:r>
      <w:r w:rsidRPr="00CC5D1F">
        <w:rPr>
          <w:rFonts w:ascii="Times New Roman" w:hAnsi="Times New Roman" w:cs="Times New Roman"/>
          <w:sz w:val="24"/>
          <w:szCs w:val="24"/>
        </w:rPr>
        <w:t xml:space="preserve"> </w:t>
      </w:r>
      <w:r w:rsidRPr="00A10700">
        <w:rPr>
          <w:rFonts w:ascii="Times New Roman" w:hAnsi="Times New Roman" w:cs="Times New Roman"/>
          <w:sz w:val="24"/>
          <w:szCs w:val="24"/>
        </w:rPr>
        <w:t>Monitor</w:t>
      </w:r>
      <w:r w:rsidRPr="00CC5D1F">
        <w:rPr>
          <w:rFonts w:ascii="Times New Roman" w:hAnsi="Times New Roman" w:cs="Times New Roman"/>
          <w:sz w:val="24"/>
          <w:szCs w:val="24"/>
        </w:rPr>
        <w:t xml:space="preserve"> создал крупнейшее в мире хранилище информации о национальной политике СРБ. Его преемник, предварительно названный </w:t>
      </w:r>
      <w:r w:rsidRPr="00A10700">
        <w:rPr>
          <w:rFonts w:ascii="Times New Roman" w:hAnsi="Times New Roman" w:cs="Times New Roman"/>
          <w:sz w:val="24"/>
          <w:szCs w:val="24"/>
        </w:rPr>
        <w:t>Sendai</w:t>
      </w:r>
      <w:r w:rsidRPr="00CC5D1F">
        <w:rPr>
          <w:rFonts w:ascii="Times New Roman" w:hAnsi="Times New Roman" w:cs="Times New Roman"/>
          <w:sz w:val="24"/>
          <w:szCs w:val="24"/>
        </w:rPr>
        <w:t xml:space="preserve"> </w:t>
      </w:r>
      <w:r w:rsidRPr="00A10700">
        <w:rPr>
          <w:rFonts w:ascii="Times New Roman" w:hAnsi="Times New Roman" w:cs="Times New Roman"/>
          <w:sz w:val="24"/>
          <w:szCs w:val="24"/>
        </w:rPr>
        <w:t>Monitor</w:t>
      </w:r>
      <w:r w:rsidRPr="00CC5D1F">
        <w:rPr>
          <w:rFonts w:ascii="Times New Roman" w:hAnsi="Times New Roman" w:cs="Times New Roman"/>
          <w:sz w:val="24"/>
          <w:szCs w:val="24"/>
        </w:rPr>
        <w:t xml:space="preserve">, находится в стадии разработки и будет опираться на рекомендации </w:t>
      </w:r>
      <w:r w:rsidRPr="00A10700">
        <w:rPr>
          <w:rFonts w:ascii="Times New Roman" w:hAnsi="Times New Roman" w:cs="Times New Roman"/>
          <w:sz w:val="24"/>
          <w:szCs w:val="24"/>
        </w:rPr>
        <w:t>OEIWG</w:t>
      </w:r>
      <w:r w:rsidRPr="00CC5D1F">
        <w:rPr>
          <w:rFonts w:ascii="Times New Roman" w:hAnsi="Times New Roman" w:cs="Times New Roman"/>
          <w:sz w:val="24"/>
          <w:szCs w:val="24"/>
        </w:rPr>
        <w:t xml:space="preserve">. </w:t>
      </w:r>
      <w:r w:rsidRPr="00601CDD">
        <w:rPr>
          <w:rFonts w:ascii="Times New Roman" w:hAnsi="Times New Roman" w:cs="Times New Roman"/>
          <w:sz w:val="24"/>
          <w:szCs w:val="24"/>
        </w:rPr>
        <w:t xml:space="preserve">По состоянию на 2015 год ожидается, что в 2016-2017 годах будет создан базис, который будет способствовать </w:t>
      </w:r>
      <w:r w:rsidRPr="00601CDD">
        <w:rPr>
          <w:rFonts w:ascii="Times New Roman" w:hAnsi="Times New Roman" w:cs="Times New Roman"/>
          <w:sz w:val="24"/>
          <w:szCs w:val="24"/>
        </w:rPr>
        <w:lastRenderedPageBreak/>
        <w:t xml:space="preserve">отчетности о прогрессе в достижении соответствующих целей как Сендайской рамочной программы, так и </w:t>
      </w:r>
      <w:r>
        <w:rPr>
          <w:rFonts w:ascii="Times New Roman" w:hAnsi="Times New Roman" w:cs="Times New Roman"/>
          <w:sz w:val="24"/>
          <w:szCs w:val="24"/>
        </w:rPr>
        <w:t>ЦУР</w:t>
      </w:r>
      <w:r w:rsidRPr="00601CDD">
        <w:rPr>
          <w:rFonts w:ascii="Times New Roman" w:hAnsi="Times New Roman" w:cs="Times New Roman"/>
          <w:sz w:val="24"/>
          <w:szCs w:val="24"/>
        </w:rPr>
        <w:t>.</w:t>
      </w:r>
    </w:p>
    <w:p w14:paraId="513C0F12" w14:textId="77777777" w:rsidR="00887763" w:rsidRPr="00CC5D1F" w:rsidRDefault="00887763" w:rsidP="00887763">
      <w:pPr>
        <w:jc w:val="both"/>
        <w:rPr>
          <w:rFonts w:ascii="Times New Roman" w:hAnsi="Times New Roman" w:cs="Times New Roman"/>
          <w:sz w:val="24"/>
          <w:szCs w:val="24"/>
        </w:rPr>
      </w:pPr>
      <w:r w:rsidRPr="00CC5D1F">
        <w:rPr>
          <w:rFonts w:ascii="Times New Roman" w:hAnsi="Times New Roman" w:cs="Times New Roman"/>
          <w:sz w:val="24"/>
          <w:szCs w:val="24"/>
        </w:rPr>
        <w:t xml:space="preserve">Члены как </w:t>
      </w:r>
      <w:r w:rsidRPr="00A10700">
        <w:rPr>
          <w:rFonts w:ascii="Times New Roman" w:hAnsi="Times New Roman" w:cs="Times New Roman"/>
          <w:sz w:val="24"/>
          <w:szCs w:val="24"/>
        </w:rPr>
        <w:t>OEIWG</w:t>
      </w:r>
      <w:r w:rsidRPr="00CC5D1F">
        <w:rPr>
          <w:rFonts w:ascii="Times New Roman" w:hAnsi="Times New Roman" w:cs="Times New Roman"/>
          <w:sz w:val="24"/>
          <w:szCs w:val="24"/>
        </w:rPr>
        <w:t xml:space="preserve">, так и </w:t>
      </w:r>
      <w:r w:rsidRPr="00A10700">
        <w:rPr>
          <w:rFonts w:ascii="Times New Roman" w:hAnsi="Times New Roman" w:cs="Times New Roman"/>
          <w:sz w:val="24"/>
          <w:szCs w:val="24"/>
        </w:rPr>
        <w:t>IAEG</w:t>
      </w:r>
      <w:r w:rsidRPr="00CC5D1F">
        <w:rPr>
          <w:rFonts w:ascii="Times New Roman" w:hAnsi="Times New Roman" w:cs="Times New Roman"/>
          <w:sz w:val="24"/>
          <w:szCs w:val="24"/>
        </w:rPr>
        <w:t>-</w:t>
      </w:r>
      <w:r w:rsidRPr="00A10700">
        <w:rPr>
          <w:rFonts w:ascii="Times New Roman" w:hAnsi="Times New Roman" w:cs="Times New Roman"/>
          <w:sz w:val="24"/>
          <w:szCs w:val="24"/>
        </w:rPr>
        <w:t>SDGs</w:t>
      </w:r>
      <w:r w:rsidRPr="00CC5D1F">
        <w:rPr>
          <w:rFonts w:ascii="Times New Roman" w:hAnsi="Times New Roman" w:cs="Times New Roman"/>
          <w:sz w:val="24"/>
          <w:szCs w:val="24"/>
        </w:rPr>
        <w:t xml:space="preserve"> обратили внимание на то, что показатели, которые просто подсчитывают количество стран, не рекомендуются и вместо этого продвигаются показатели для измерения прогресса в течение определённого времени. В дополнение к совещаниям, проведенным </w:t>
      </w:r>
      <w:r w:rsidRPr="00A10700">
        <w:rPr>
          <w:rFonts w:ascii="Times New Roman" w:hAnsi="Times New Roman" w:cs="Times New Roman"/>
          <w:sz w:val="24"/>
          <w:szCs w:val="24"/>
        </w:rPr>
        <w:t>OEIWG</w:t>
      </w:r>
      <w:r w:rsidRPr="00CC5D1F">
        <w:rPr>
          <w:rFonts w:ascii="Times New Roman" w:hAnsi="Times New Roman" w:cs="Times New Roman"/>
          <w:sz w:val="24"/>
          <w:szCs w:val="24"/>
        </w:rPr>
        <w:t xml:space="preserve">, а также </w:t>
      </w:r>
      <w:r w:rsidRPr="00A10700">
        <w:rPr>
          <w:rFonts w:ascii="Times New Roman" w:hAnsi="Times New Roman" w:cs="Times New Roman"/>
          <w:sz w:val="24"/>
          <w:szCs w:val="24"/>
        </w:rPr>
        <w:t>IAEG</w:t>
      </w:r>
      <w:r w:rsidRPr="00CC5D1F">
        <w:rPr>
          <w:rFonts w:ascii="Times New Roman" w:hAnsi="Times New Roman" w:cs="Times New Roman"/>
          <w:sz w:val="24"/>
          <w:szCs w:val="24"/>
        </w:rPr>
        <w:t>, МСУОБ ООН предложила методологии расчета, которые позволяют на протяжении времени осуществлять мониторинг совершенствования национальных и местных стратегий в области СРБ. Эти методологии варьируются от простой количественной оценки числа этих стратегий до качественной оценки соответствия с Сендайской рамочной программой, также как и охват населения местными стратегиями.</w:t>
      </w:r>
    </w:p>
    <w:p w14:paraId="081B14D0" w14:textId="77777777" w:rsidR="00887763" w:rsidRPr="00601CDD" w:rsidRDefault="00887763" w:rsidP="00887763">
      <w:pPr>
        <w:jc w:val="both"/>
        <w:rPr>
          <w:rFonts w:ascii="Times New Roman" w:hAnsi="Times New Roman" w:cs="Times New Roman"/>
          <w:b/>
          <w:sz w:val="24"/>
          <w:szCs w:val="24"/>
        </w:rPr>
      </w:pPr>
      <w:r w:rsidRPr="00601CDD">
        <w:rPr>
          <w:rFonts w:ascii="Times New Roman" w:hAnsi="Times New Roman" w:cs="Times New Roman"/>
          <w:b/>
          <w:sz w:val="24"/>
          <w:szCs w:val="24"/>
        </w:rPr>
        <w:t>Методология</w:t>
      </w:r>
    </w:p>
    <w:p w14:paraId="11FA18ED"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Метод расчета:</w:t>
      </w:r>
    </w:p>
    <w:p w14:paraId="429AF9C4" w14:textId="77777777" w:rsidR="00887763" w:rsidRPr="00CC5D1F" w:rsidRDefault="00887763" w:rsidP="00887763">
      <w:pPr>
        <w:jc w:val="both"/>
        <w:rPr>
          <w:rFonts w:ascii="Times New Roman" w:hAnsi="Times New Roman" w:cs="Times New Roman"/>
          <w:sz w:val="24"/>
          <w:szCs w:val="24"/>
        </w:rPr>
      </w:pPr>
      <w:r w:rsidRPr="00CC5D1F">
        <w:rPr>
          <w:rFonts w:ascii="Times New Roman" w:hAnsi="Times New Roman" w:cs="Times New Roman"/>
          <w:sz w:val="24"/>
          <w:szCs w:val="24"/>
        </w:rPr>
        <w:t xml:space="preserve">Примечание: методология расчета нескольких показателей является очень обширной, очень длинной (около 180 страниц) и, вероятно, выходит за рамки этих метаданных. МСУОБ ООН предпочитает ссылаться на результаты Межправительственной рабочей группы открытого состава, которая предоставляет полную подробную методику по каждому показателю и субпоказателю. </w:t>
      </w:r>
    </w:p>
    <w:p w14:paraId="4E6C9A7C"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Последняя версия этих методологий может быть получена по адресу:</w:t>
      </w:r>
    </w:p>
    <w:p w14:paraId="376F6F6C" w14:textId="77777777" w:rsidR="00887763" w:rsidRPr="00601CDD" w:rsidRDefault="00887763" w:rsidP="00887763">
      <w:pPr>
        <w:jc w:val="both"/>
        <w:rPr>
          <w:rFonts w:ascii="Times New Roman" w:hAnsi="Times New Roman" w:cs="Times New Roman"/>
          <w:sz w:val="24"/>
          <w:szCs w:val="24"/>
        </w:rPr>
      </w:pPr>
      <w:hyperlink r:id="rId5" w:history="1">
        <w:r w:rsidRPr="00357F4A">
          <w:rPr>
            <w:rStyle w:val="Hyperlink"/>
            <w:rFonts w:ascii="Times New Roman" w:hAnsi="Times New Roman" w:cs="Times New Roman"/>
            <w:sz w:val="24"/>
            <w:szCs w:val="24"/>
          </w:rPr>
          <w:t>http://www.preventionweb.net/documents/oiewg/Technical%20Collection%20of%20Concept%20Notes%20on%20Indicators.pdf</w:t>
        </w:r>
      </w:hyperlink>
      <w:r w:rsidRPr="00601CDD">
        <w:rPr>
          <w:rFonts w:ascii="Times New Roman" w:hAnsi="Times New Roman" w:cs="Times New Roman"/>
          <w:sz w:val="24"/>
          <w:szCs w:val="24"/>
        </w:rPr>
        <w:t xml:space="preserve"> </w:t>
      </w:r>
    </w:p>
    <w:p w14:paraId="49125D0C"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 xml:space="preserve">Краткое резюме: </w:t>
      </w:r>
    </w:p>
    <w:p w14:paraId="608874E4"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Обобщение данных из Национальных докладов о ходе работы программы Sendai Monitor</w:t>
      </w:r>
    </w:p>
    <w:p w14:paraId="6DF93F5E" w14:textId="77777777" w:rsidR="00887763" w:rsidRPr="00A10700" w:rsidRDefault="00887763" w:rsidP="00887763">
      <w:pPr>
        <w:jc w:val="both"/>
        <w:rPr>
          <w:rFonts w:ascii="Times New Roman" w:hAnsi="Times New Roman" w:cs="Times New Roman"/>
          <w:sz w:val="24"/>
          <w:szCs w:val="24"/>
        </w:rPr>
      </w:pPr>
      <w:r w:rsidRPr="00601CDD">
        <w:rPr>
          <w:rFonts w:ascii="Times New Roman" w:hAnsi="Times New Roman" w:cs="Times New Roman"/>
          <w:b/>
          <w:sz w:val="24"/>
          <w:szCs w:val="24"/>
        </w:rPr>
        <w:t>Дезагрегация</w:t>
      </w:r>
      <w:r w:rsidRPr="00A10700">
        <w:rPr>
          <w:rFonts w:ascii="Times New Roman" w:hAnsi="Times New Roman" w:cs="Times New Roman"/>
          <w:sz w:val="24"/>
          <w:szCs w:val="24"/>
        </w:rPr>
        <w:t>:</w:t>
      </w:r>
    </w:p>
    <w:p w14:paraId="0E00F29C"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 xml:space="preserve">По странам </w:t>
      </w:r>
    </w:p>
    <w:p w14:paraId="55680F15"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По городам (применение субнациональных административных единиц)</w:t>
      </w:r>
    </w:p>
    <w:p w14:paraId="14176C40" w14:textId="77777777" w:rsidR="00887763" w:rsidRPr="00601CDD" w:rsidRDefault="00887763" w:rsidP="00887763">
      <w:pPr>
        <w:jc w:val="both"/>
        <w:rPr>
          <w:rFonts w:ascii="Times New Roman" w:hAnsi="Times New Roman" w:cs="Times New Roman"/>
          <w:b/>
          <w:sz w:val="24"/>
          <w:szCs w:val="24"/>
        </w:rPr>
      </w:pPr>
      <w:r w:rsidRPr="00601CDD">
        <w:rPr>
          <w:rFonts w:ascii="Times New Roman" w:hAnsi="Times New Roman" w:cs="Times New Roman"/>
          <w:b/>
          <w:sz w:val="24"/>
          <w:szCs w:val="24"/>
        </w:rPr>
        <w:t>Обработка отсутствующих значений:</w:t>
      </w:r>
    </w:p>
    <w:p w14:paraId="61A0A1FF" w14:textId="77777777" w:rsidR="00887763" w:rsidRPr="00601CDD" w:rsidRDefault="00887763" w:rsidP="00887763">
      <w:pPr>
        <w:pStyle w:val="ListParagraph"/>
        <w:numPr>
          <w:ilvl w:val="0"/>
          <w:numId w:val="1"/>
        </w:numPr>
        <w:jc w:val="both"/>
        <w:rPr>
          <w:rFonts w:ascii="Times New Roman" w:hAnsi="Times New Roman" w:cs="Times New Roman"/>
          <w:sz w:val="24"/>
          <w:szCs w:val="24"/>
        </w:rPr>
      </w:pPr>
      <w:r w:rsidRPr="00601CDD">
        <w:rPr>
          <w:rFonts w:ascii="Times New Roman" w:hAnsi="Times New Roman" w:cs="Times New Roman"/>
          <w:sz w:val="24"/>
          <w:szCs w:val="24"/>
        </w:rPr>
        <w:t>На уровне страны:</w:t>
      </w:r>
    </w:p>
    <w:p w14:paraId="6A73B02A" w14:textId="77777777" w:rsidR="00887763" w:rsidRPr="00CC5D1F" w:rsidRDefault="00887763" w:rsidP="00887763">
      <w:pPr>
        <w:jc w:val="both"/>
        <w:rPr>
          <w:rFonts w:ascii="Times New Roman" w:hAnsi="Times New Roman" w:cs="Times New Roman"/>
          <w:sz w:val="24"/>
          <w:szCs w:val="24"/>
        </w:rPr>
      </w:pPr>
      <w:r w:rsidRPr="00CC5D1F">
        <w:rPr>
          <w:rFonts w:ascii="Times New Roman" w:hAnsi="Times New Roman" w:cs="Times New Roman"/>
          <w:sz w:val="24"/>
          <w:szCs w:val="24"/>
        </w:rPr>
        <w:t xml:space="preserve">В программе </w:t>
      </w:r>
      <w:r w:rsidRPr="00A10700">
        <w:rPr>
          <w:rFonts w:ascii="Times New Roman" w:hAnsi="Times New Roman" w:cs="Times New Roman"/>
          <w:sz w:val="24"/>
          <w:szCs w:val="24"/>
        </w:rPr>
        <w:t>Sendai</w:t>
      </w:r>
      <w:r w:rsidRPr="00CC5D1F">
        <w:rPr>
          <w:rFonts w:ascii="Times New Roman" w:hAnsi="Times New Roman" w:cs="Times New Roman"/>
          <w:sz w:val="24"/>
          <w:szCs w:val="24"/>
        </w:rPr>
        <w:t xml:space="preserve"> </w:t>
      </w:r>
      <w:r w:rsidRPr="00A10700">
        <w:rPr>
          <w:rFonts w:ascii="Times New Roman" w:hAnsi="Times New Roman" w:cs="Times New Roman"/>
          <w:sz w:val="24"/>
          <w:szCs w:val="24"/>
        </w:rPr>
        <w:t>Monitor</w:t>
      </w:r>
      <w:r w:rsidRPr="00CC5D1F">
        <w:rPr>
          <w:rFonts w:ascii="Times New Roman" w:hAnsi="Times New Roman" w:cs="Times New Roman"/>
          <w:sz w:val="24"/>
          <w:szCs w:val="24"/>
        </w:rPr>
        <w:t xml:space="preserve">, которая будет проводиться в качестве добровольной самостоятельной оценки, такой как </w:t>
      </w:r>
      <w:r w:rsidRPr="00A10700">
        <w:rPr>
          <w:rFonts w:ascii="Times New Roman" w:hAnsi="Times New Roman" w:cs="Times New Roman"/>
          <w:sz w:val="24"/>
          <w:szCs w:val="24"/>
        </w:rPr>
        <w:t>HFA</w:t>
      </w:r>
      <w:r w:rsidRPr="00CC5D1F">
        <w:rPr>
          <w:rFonts w:ascii="Times New Roman" w:hAnsi="Times New Roman" w:cs="Times New Roman"/>
          <w:sz w:val="24"/>
          <w:szCs w:val="24"/>
        </w:rPr>
        <w:t xml:space="preserve"> </w:t>
      </w:r>
      <w:r w:rsidRPr="00A10700">
        <w:rPr>
          <w:rFonts w:ascii="Times New Roman" w:hAnsi="Times New Roman" w:cs="Times New Roman"/>
          <w:sz w:val="24"/>
          <w:szCs w:val="24"/>
        </w:rPr>
        <w:t>Monitor</w:t>
      </w:r>
      <w:r w:rsidRPr="00CC5D1F">
        <w:rPr>
          <w:rFonts w:ascii="Times New Roman" w:hAnsi="Times New Roman" w:cs="Times New Roman"/>
          <w:sz w:val="24"/>
          <w:szCs w:val="24"/>
        </w:rPr>
        <w:t xml:space="preserve">, пропущенные значения и 0 или </w:t>
      </w:r>
      <w:r w:rsidRPr="00A10700">
        <w:rPr>
          <w:rFonts w:ascii="Times New Roman" w:hAnsi="Times New Roman" w:cs="Times New Roman"/>
          <w:sz w:val="24"/>
          <w:szCs w:val="24"/>
        </w:rPr>
        <w:t>null</w:t>
      </w:r>
      <w:r w:rsidRPr="00CC5D1F">
        <w:rPr>
          <w:rFonts w:ascii="Times New Roman" w:hAnsi="Times New Roman" w:cs="Times New Roman"/>
          <w:sz w:val="24"/>
          <w:szCs w:val="24"/>
        </w:rPr>
        <w:t xml:space="preserve"> будут считаться эквивалентными.</w:t>
      </w:r>
    </w:p>
    <w:p w14:paraId="733A371D" w14:textId="77777777" w:rsidR="00887763" w:rsidRPr="00C97707" w:rsidRDefault="00887763" w:rsidP="00887763">
      <w:pPr>
        <w:pStyle w:val="ListParagraph"/>
        <w:numPr>
          <w:ilvl w:val="0"/>
          <w:numId w:val="1"/>
        </w:numPr>
        <w:jc w:val="both"/>
        <w:rPr>
          <w:rFonts w:ascii="Times New Roman" w:hAnsi="Times New Roman" w:cs="Times New Roman"/>
          <w:sz w:val="24"/>
          <w:szCs w:val="24"/>
          <w:lang w:val="ru-RU"/>
        </w:rPr>
      </w:pPr>
      <w:r w:rsidRPr="00C97707">
        <w:rPr>
          <w:rFonts w:ascii="Times New Roman" w:hAnsi="Times New Roman" w:cs="Times New Roman"/>
          <w:sz w:val="24"/>
          <w:szCs w:val="24"/>
          <w:lang w:val="ru-RU"/>
        </w:rPr>
        <w:t>На региональном и глобальном уровнях:</w:t>
      </w:r>
    </w:p>
    <w:p w14:paraId="1B61370B"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Не применимо</w:t>
      </w:r>
    </w:p>
    <w:p w14:paraId="7B895CDC" w14:textId="77777777" w:rsidR="00887763" w:rsidRPr="00601CDD" w:rsidRDefault="00887763" w:rsidP="00887763">
      <w:pPr>
        <w:jc w:val="both"/>
        <w:rPr>
          <w:rFonts w:ascii="Times New Roman" w:hAnsi="Times New Roman" w:cs="Times New Roman"/>
          <w:b/>
          <w:sz w:val="24"/>
          <w:szCs w:val="24"/>
        </w:rPr>
      </w:pPr>
      <w:r w:rsidRPr="00601CDD">
        <w:rPr>
          <w:rFonts w:ascii="Times New Roman" w:hAnsi="Times New Roman" w:cs="Times New Roman"/>
          <w:b/>
          <w:sz w:val="24"/>
          <w:szCs w:val="24"/>
        </w:rPr>
        <w:t>Региональные показатели:</w:t>
      </w:r>
    </w:p>
    <w:p w14:paraId="5FBC6925"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См. раздел «Метод расчета».</w:t>
      </w:r>
    </w:p>
    <w:p w14:paraId="5A1A88C8"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Они будут рассчитываться по усмотрению OEIWG как линейное среднее значение индекса, описанное в разделе «Метод расчета» или как средневзвешенное значение индекса, умноженное на население страны, разделенное на глобальное население.</w:t>
      </w:r>
    </w:p>
    <w:p w14:paraId="46FE406A" w14:textId="77777777" w:rsidR="00887763" w:rsidRPr="00601CDD" w:rsidRDefault="00887763" w:rsidP="00887763">
      <w:pPr>
        <w:jc w:val="both"/>
        <w:rPr>
          <w:rFonts w:ascii="Times New Roman" w:hAnsi="Times New Roman" w:cs="Times New Roman"/>
          <w:b/>
          <w:sz w:val="24"/>
          <w:szCs w:val="24"/>
        </w:rPr>
      </w:pPr>
      <w:r w:rsidRPr="00601CDD">
        <w:rPr>
          <w:rFonts w:ascii="Times New Roman" w:hAnsi="Times New Roman" w:cs="Times New Roman"/>
          <w:b/>
          <w:sz w:val="24"/>
          <w:szCs w:val="24"/>
        </w:rPr>
        <w:lastRenderedPageBreak/>
        <w:t>Источники расхождений</w:t>
      </w:r>
    </w:p>
    <w:p w14:paraId="22FA0198" w14:textId="77777777" w:rsidR="00887763" w:rsidRPr="00CC5D1F" w:rsidRDefault="00887763" w:rsidP="00887763">
      <w:pPr>
        <w:jc w:val="both"/>
        <w:rPr>
          <w:rFonts w:ascii="Times New Roman" w:hAnsi="Times New Roman" w:cs="Times New Roman"/>
          <w:sz w:val="24"/>
          <w:szCs w:val="24"/>
        </w:rPr>
      </w:pPr>
      <w:r w:rsidRPr="00CC5D1F">
        <w:rPr>
          <w:rFonts w:ascii="Times New Roman" w:hAnsi="Times New Roman" w:cs="Times New Roman"/>
          <w:sz w:val="24"/>
          <w:szCs w:val="24"/>
        </w:rPr>
        <w:t xml:space="preserve">Нет глобальной базы данных, собирающей информацию о политике СРБ кроме </w:t>
      </w:r>
      <w:r w:rsidRPr="00A10700">
        <w:rPr>
          <w:rFonts w:ascii="Times New Roman" w:hAnsi="Times New Roman" w:cs="Times New Roman"/>
          <w:sz w:val="24"/>
          <w:szCs w:val="24"/>
        </w:rPr>
        <w:t>HFA</w:t>
      </w:r>
      <w:r w:rsidRPr="00CC5D1F">
        <w:rPr>
          <w:rFonts w:ascii="Times New Roman" w:hAnsi="Times New Roman" w:cs="Times New Roman"/>
          <w:sz w:val="24"/>
          <w:szCs w:val="24"/>
        </w:rPr>
        <w:t xml:space="preserve"> </w:t>
      </w:r>
      <w:r w:rsidRPr="00A10700">
        <w:rPr>
          <w:rFonts w:ascii="Times New Roman" w:hAnsi="Times New Roman" w:cs="Times New Roman"/>
          <w:sz w:val="24"/>
          <w:szCs w:val="24"/>
        </w:rPr>
        <w:t>Monitor</w:t>
      </w:r>
      <w:r w:rsidRPr="00CC5D1F">
        <w:rPr>
          <w:rFonts w:ascii="Times New Roman" w:hAnsi="Times New Roman" w:cs="Times New Roman"/>
          <w:sz w:val="24"/>
          <w:szCs w:val="24"/>
        </w:rPr>
        <w:t xml:space="preserve"> и преуспевающей </w:t>
      </w:r>
      <w:r w:rsidRPr="00A10700">
        <w:rPr>
          <w:rFonts w:ascii="Times New Roman" w:hAnsi="Times New Roman" w:cs="Times New Roman"/>
          <w:sz w:val="24"/>
          <w:szCs w:val="24"/>
        </w:rPr>
        <w:t>Sendai</w:t>
      </w:r>
      <w:r w:rsidRPr="00CC5D1F">
        <w:rPr>
          <w:rFonts w:ascii="Times New Roman" w:hAnsi="Times New Roman" w:cs="Times New Roman"/>
          <w:sz w:val="24"/>
          <w:szCs w:val="24"/>
        </w:rPr>
        <w:t xml:space="preserve"> </w:t>
      </w:r>
      <w:r w:rsidRPr="00A10700">
        <w:rPr>
          <w:rFonts w:ascii="Times New Roman" w:hAnsi="Times New Roman" w:cs="Times New Roman"/>
          <w:sz w:val="24"/>
          <w:szCs w:val="24"/>
        </w:rPr>
        <w:t>Monitor</w:t>
      </w:r>
      <w:r w:rsidRPr="00CC5D1F">
        <w:rPr>
          <w:rFonts w:ascii="Times New Roman" w:hAnsi="Times New Roman" w:cs="Times New Roman"/>
          <w:sz w:val="24"/>
          <w:szCs w:val="24"/>
        </w:rPr>
        <w:t>.</w:t>
      </w:r>
    </w:p>
    <w:p w14:paraId="6C1BEAF3" w14:textId="77777777" w:rsidR="00887763" w:rsidRPr="00601CDD" w:rsidRDefault="00887763" w:rsidP="00887763">
      <w:pPr>
        <w:jc w:val="both"/>
        <w:rPr>
          <w:rFonts w:ascii="Times New Roman" w:hAnsi="Times New Roman" w:cs="Times New Roman"/>
          <w:b/>
          <w:sz w:val="24"/>
          <w:szCs w:val="24"/>
        </w:rPr>
      </w:pPr>
      <w:r w:rsidRPr="00601CDD">
        <w:rPr>
          <w:rFonts w:ascii="Times New Roman" w:hAnsi="Times New Roman" w:cs="Times New Roman"/>
          <w:b/>
          <w:sz w:val="24"/>
          <w:szCs w:val="24"/>
        </w:rPr>
        <w:t>Источники данных</w:t>
      </w:r>
    </w:p>
    <w:p w14:paraId="0611581A"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Описание:</w:t>
      </w:r>
    </w:p>
    <w:p w14:paraId="626D9F9B" w14:textId="77777777" w:rsidR="00887763" w:rsidRPr="00CC5D1F" w:rsidRDefault="00887763" w:rsidP="00887763">
      <w:pPr>
        <w:jc w:val="both"/>
        <w:rPr>
          <w:rFonts w:ascii="Times New Roman" w:hAnsi="Times New Roman" w:cs="Times New Roman"/>
          <w:sz w:val="24"/>
          <w:szCs w:val="24"/>
        </w:rPr>
      </w:pPr>
      <w:r w:rsidRPr="00CC5D1F">
        <w:rPr>
          <w:rFonts w:ascii="Times New Roman" w:hAnsi="Times New Roman" w:cs="Times New Roman"/>
          <w:sz w:val="24"/>
          <w:szCs w:val="24"/>
        </w:rPr>
        <w:t xml:space="preserve">Национальный доклад о ходе выполнения программы </w:t>
      </w:r>
      <w:r w:rsidRPr="00A10700">
        <w:rPr>
          <w:rFonts w:ascii="Times New Roman" w:hAnsi="Times New Roman" w:cs="Times New Roman"/>
          <w:sz w:val="24"/>
          <w:szCs w:val="24"/>
        </w:rPr>
        <w:t>Sendai</w:t>
      </w:r>
      <w:r w:rsidRPr="00CC5D1F">
        <w:rPr>
          <w:rFonts w:ascii="Times New Roman" w:hAnsi="Times New Roman" w:cs="Times New Roman"/>
          <w:sz w:val="24"/>
          <w:szCs w:val="24"/>
        </w:rPr>
        <w:t xml:space="preserve"> </w:t>
      </w:r>
      <w:r w:rsidRPr="00A10700">
        <w:rPr>
          <w:rFonts w:ascii="Times New Roman" w:hAnsi="Times New Roman" w:cs="Times New Roman"/>
          <w:sz w:val="24"/>
          <w:szCs w:val="24"/>
        </w:rPr>
        <w:t>Monitor</w:t>
      </w:r>
      <w:r w:rsidRPr="00CC5D1F">
        <w:rPr>
          <w:rFonts w:ascii="Times New Roman" w:hAnsi="Times New Roman" w:cs="Times New Roman"/>
          <w:sz w:val="24"/>
          <w:szCs w:val="24"/>
        </w:rPr>
        <w:t>, представленный МСУОБ ООН.</w:t>
      </w:r>
    </w:p>
    <w:p w14:paraId="2290E60F"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Процесс сбора:</w:t>
      </w:r>
    </w:p>
    <w:p w14:paraId="2BD6A4BE" w14:textId="77777777" w:rsidR="00887763" w:rsidRPr="00CC5D1F" w:rsidRDefault="00887763" w:rsidP="00887763">
      <w:pPr>
        <w:jc w:val="both"/>
        <w:rPr>
          <w:rFonts w:ascii="Times New Roman" w:hAnsi="Times New Roman" w:cs="Times New Roman"/>
          <w:sz w:val="24"/>
          <w:szCs w:val="24"/>
        </w:rPr>
      </w:pPr>
      <w:r w:rsidRPr="00CC5D1F">
        <w:rPr>
          <w:rFonts w:ascii="Times New Roman" w:hAnsi="Times New Roman" w:cs="Times New Roman"/>
          <w:sz w:val="24"/>
          <w:szCs w:val="24"/>
        </w:rPr>
        <w:t xml:space="preserve">Официальный партнер(ы) на уровне стран представит (представят) Национальный доклад о ходе выполнения программы </w:t>
      </w:r>
      <w:r w:rsidRPr="00A10700">
        <w:rPr>
          <w:rFonts w:ascii="Times New Roman" w:hAnsi="Times New Roman" w:cs="Times New Roman"/>
          <w:sz w:val="24"/>
          <w:szCs w:val="24"/>
        </w:rPr>
        <w:t>Sendai</w:t>
      </w:r>
      <w:r w:rsidRPr="00CC5D1F">
        <w:rPr>
          <w:rFonts w:ascii="Times New Roman" w:hAnsi="Times New Roman" w:cs="Times New Roman"/>
          <w:sz w:val="24"/>
          <w:szCs w:val="24"/>
        </w:rPr>
        <w:t xml:space="preserve"> </w:t>
      </w:r>
      <w:r w:rsidRPr="00A10700">
        <w:rPr>
          <w:rFonts w:ascii="Times New Roman" w:hAnsi="Times New Roman" w:cs="Times New Roman"/>
          <w:sz w:val="24"/>
          <w:szCs w:val="24"/>
        </w:rPr>
        <w:t>Monitor</w:t>
      </w:r>
      <w:r w:rsidRPr="00CC5D1F">
        <w:rPr>
          <w:rFonts w:ascii="Times New Roman" w:hAnsi="Times New Roman" w:cs="Times New Roman"/>
          <w:sz w:val="24"/>
          <w:szCs w:val="24"/>
        </w:rPr>
        <w:t>.</w:t>
      </w:r>
    </w:p>
    <w:p w14:paraId="647AD7F3" w14:textId="77777777" w:rsidR="00887763" w:rsidRPr="00601CDD" w:rsidRDefault="00887763" w:rsidP="00887763">
      <w:pPr>
        <w:jc w:val="both"/>
        <w:rPr>
          <w:rFonts w:ascii="Times New Roman" w:hAnsi="Times New Roman" w:cs="Times New Roman"/>
          <w:b/>
          <w:sz w:val="24"/>
          <w:szCs w:val="24"/>
        </w:rPr>
      </w:pPr>
      <w:r w:rsidRPr="00601CDD">
        <w:rPr>
          <w:rFonts w:ascii="Times New Roman" w:hAnsi="Times New Roman" w:cs="Times New Roman"/>
          <w:b/>
          <w:sz w:val="24"/>
          <w:szCs w:val="24"/>
        </w:rPr>
        <w:t>Доступность данных</w:t>
      </w:r>
    </w:p>
    <w:p w14:paraId="57BB77B1"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Описание:</w:t>
      </w:r>
    </w:p>
    <w:p w14:paraId="4DEBA927"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Около 100 стран</w:t>
      </w:r>
    </w:p>
    <w:p w14:paraId="64C50D90" w14:textId="77777777" w:rsidR="00887763" w:rsidRPr="00601CDD"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 xml:space="preserve">За время действия программы HFA Monitor, начавшейся в 2007 году, число стран, предоставляющих информацию МСУОБ ООН, возросло с 60 в 2007 году до 140+ стран, которые в настоящее время проводят добровольную самостоятельную оценку прогресса в осуществлении HFA. </w:t>
      </w:r>
      <w:r w:rsidRPr="00601CDD">
        <w:rPr>
          <w:rFonts w:ascii="Times New Roman" w:hAnsi="Times New Roman" w:cs="Times New Roman"/>
          <w:sz w:val="24"/>
          <w:szCs w:val="24"/>
        </w:rPr>
        <w:t xml:space="preserve">С учетом требований к стратегиям уменьшения опасности бедствий, закрепленных в отчетности по </w:t>
      </w:r>
      <w:r>
        <w:rPr>
          <w:rFonts w:ascii="Times New Roman" w:hAnsi="Times New Roman" w:cs="Times New Roman"/>
          <w:sz w:val="24"/>
          <w:szCs w:val="24"/>
        </w:rPr>
        <w:t>ЦУР</w:t>
      </w:r>
      <w:r w:rsidRPr="00601CDD">
        <w:rPr>
          <w:rFonts w:ascii="Times New Roman" w:hAnsi="Times New Roman" w:cs="Times New Roman"/>
          <w:sz w:val="24"/>
          <w:szCs w:val="24"/>
        </w:rPr>
        <w:t xml:space="preserve"> и целях Сендайской рамочной программы, ожидается, что к 2020 году все государства-члены сообщат о своих стратегиях в области СРБ в соответствии с рекомендациями и руководящими принципами, принятыми </w:t>
      </w:r>
      <w:r w:rsidRPr="00A10700">
        <w:rPr>
          <w:rFonts w:ascii="Times New Roman" w:hAnsi="Times New Roman" w:cs="Times New Roman"/>
          <w:sz w:val="24"/>
          <w:szCs w:val="24"/>
        </w:rPr>
        <w:t>OEIWG</w:t>
      </w:r>
      <w:r w:rsidRPr="00601CDD">
        <w:rPr>
          <w:rFonts w:ascii="Times New Roman" w:hAnsi="Times New Roman" w:cs="Times New Roman"/>
          <w:sz w:val="24"/>
          <w:szCs w:val="24"/>
        </w:rPr>
        <w:t>.</w:t>
      </w:r>
    </w:p>
    <w:p w14:paraId="76A649B1" w14:textId="77777777" w:rsidR="00887763" w:rsidRPr="00601CDD" w:rsidRDefault="00887763" w:rsidP="00887763">
      <w:pPr>
        <w:jc w:val="both"/>
        <w:rPr>
          <w:rFonts w:ascii="Times New Roman" w:hAnsi="Times New Roman" w:cs="Times New Roman"/>
          <w:b/>
          <w:sz w:val="24"/>
          <w:szCs w:val="24"/>
        </w:rPr>
      </w:pPr>
      <w:r w:rsidRPr="00601CDD">
        <w:rPr>
          <w:rFonts w:ascii="Times New Roman" w:hAnsi="Times New Roman" w:cs="Times New Roman"/>
          <w:b/>
          <w:sz w:val="24"/>
          <w:szCs w:val="24"/>
        </w:rPr>
        <w:t>Временные ряды:</w:t>
      </w:r>
    </w:p>
    <w:p w14:paraId="6465F938" w14:textId="77777777" w:rsidR="00887763" w:rsidRPr="00601CDD" w:rsidRDefault="00887763" w:rsidP="00887763">
      <w:pPr>
        <w:jc w:val="both"/>
        <w:rPr>
          <w:rFonts w:ascii="Times New Roman" w:hAnsi="Times New Roman" w:cs="Times New Roman"/>
          <w:sz w:val="24"/>
          <w:szCs w:val="24"/>
        </w:rPr>
      </w:pPr>
      <w:r w:rsidRPr="00601CDD">
        <w:rPr>
          <w:rFonts w:ascii="Times New Roman" w:hAnsi="Times New Roman" w:cs="Times New Roman"/>
          <w:sz w:val="24"/>
          <w:szCs w:val="24"/>
        </w:rPr>
        <w:t xml:space="preserve">2013 и 2015: </w:t>
      </w:r>
      <w:r w:rsidRPr="00A10700">
        <w:rPr>
          <w:rFonts w:ascii="Times New Roman" w:hAnsi="Times New Roman" w:cs="Times New Roman"/>
          <w:sz w:val="24"/>
          <w:szCs w:val="24"/>
        </w:rPr>
        <w:t>HFA</w:t>
      </w:r>
      <w:r w:rsidRPr="00601CDD">
        <w:rPr>
          <w:rFonts w:ascii="Times New Roman" w:hAnsi="Times New Roman" w:cs="Times New Roman"/>
          <w:sz w:val="24"/>
          <w:szCs w:val="24"/>
        </w:rPr>
        <w:t xml:space="preserve"> </w:t>
      </w:r>
      <w:r w:rsidRPr="00A10700">
        <w:rPr>
          <w:rFonts w:ascii="Times New Roman" w:hAnsi="Times New Roman" w:cs="Times New Roman"/>
          <w:sz w:val="24"/>
          <w:szCs w:val="24"/>
        </w:rPr>
        <w:t>Monitor</w:t>
      </w:r>
    </w:p>
    <w:p w14:paraId="3716C52B" w14:textId="77777777" w:rsidR="00887763" w:rsidRPr="00601CDD" w:rsidRDefault="00887763" w:rsidP="00887763">
      <w:pPr>
        <w:jc w:val="both"/>
        <w:rPr>
          <w:rFonts w:ascii="Times New Roman" w:hAnsi="Times New Roman" w:cs="Times New Roman"/>
          <w:b/>
          <w:sz w:val="24"/>
          <w:szCs w:val="24"/>
        </w:rPr>
      </w:pPr>
      <w:r w:rsidRPr="00601CDD">
        <w:rPr>
          <w:rFonts w:ascii="Times New Roman" w:hAnsi="Times New Roman" w:cs="Times New Roman"/>
          <w:b/>
          <w:sz w:val="24"/>
          <w:szCs w:val="24"/>
        </w:rPr>
        <w:t>Календарь</w:t>
      </w:r>
    </w:p>
    <w:p w14:paraId="7F96C4B4"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Сбор данных:</w:t>
      </w:r>
    </w:p>
    <w:p w14:paraId="56053589"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2017-2018</w:t>
      </w:r>
    </w:p>
    <w:p w14:paraId="20E3A442"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Выпуск данных:</w:t>
      </w:r>
    </w:p>
    <w:p w14:paraId="5821497F" w14:textId="77777777" w:rsidR="00887763" w:rsidRPr="00CC5D1F" w:rsidRDefault="00887763" w:rsidP="00887763">
      <w:pPr>
        <w:jc w:val="both"/>
        <w:rPr>
          <w:rFonts w:ascii="Times New Roman" w:hAnsi="Times New Roman" w:cs="Times New Roman"/>
          <w:sz w:val="24"/>
          <w:szCs w:val="24"/>
        </w:rPr>
      </w:pPr>
      <w:r w:rsidRPr="00CC5D1F">
        <w:rPr>
          <w:rFonts w:ascii="Times New Roman" w:hAnsi="Times New Roman" w:cs="Times New Roman"/>
          <w:sz w:val="24"/>
          <w:szCs w:val="24"/>
        </w:rPr>
        <w:t>Первоначальные наборы данных в 2017 году, первый полный набор данных – к 2019 году.</w:t>
      </w:r>
    </w:p>
    <w:p w14:paraId="100D7EF5" w14:textId="77777777" w:rsidR="00887763" w:rsidRPr="00601CDD" w:rsidRDefault="00887763" w:rsidP="00887763">
      <w:pPr>
        <w:jc w:val="both"/>
        <w:rPr>
          <w:rFonts w:ascii="Times New Roman" w:hAnsi="Times New Roman" w:cs="Times New Roman"/>
          <w:b/>
          <w:sz w:val="24"/>
          <w:szCs w:val="24"/>
        </w:rPr>
      </w:pPr>
      <w:r w:rsidRPr="00601CDD">
        <w:rPr>
          <w:rFonts w:ascii="Times New Roman" w:hAnsi="Times New Roman" w:cs="Times New Roman"/>
          <w:b/>
          <w:sz w:val="24"/>
          <w:szCs w:val="24"/>
        </w:rPr>
        <w:t>Поставщики данных</w:t>
      </w:r>
    </w:p>
    <w:p w14:paraId="70CC2D1B"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Наименование:</w:t>
      </w:r>
    </w:p>
    <w:p w14:paraId="63EB562C" w14:textId="77777777" w:rsidR="00887763" w:rsidRPr="00CC5D1F" w:rsidRDefault="00887763" w:rsidP="00887763">
      <w:pPr>
        <w:jc w:val="both"/>
        <w:rPr>
          <w:rFonts w:ascii="Times New Roman" w:hAnsi="Times New Roman" w:cs="Times New Roman"/>
          <w:sz w:val="24"/>
          <w:szCs w:val="24"/>
        </w:rPr>
      </w:pPr>
      <w:r w:rsidRPr="00CC5D1F">
        <w:rPr>
          <w:rFonts w:ascii="Times New Roman" w:hAnsi="Times New Roman" w:cs="Times New Roman"/>
          <w:sz w:val="24"/>
          <w:szCs w:val="24"/>
        </w:rPr>
        <w:t>Координирующее ведущее учреждение, возглавляющее национальную платформу СРБ, в состав которой входят специализированные учреждения, включая национальные службы по борьбе со стихийными бедствиями, службы гражданской обороны и метеорологические службы.</w:t>
      </w:r>
    </w:p>
    <w:p w14:paraId="5655CF71"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Описание:</w:t>
      </w:r>
    </w:p>
    <w:p w14:paraId="35040CC0" w14:textId="77777777" w:rsidR="00887763" w:rsidRPr="00CC5D1F" w:rsidRDefault="00887763" w:rsidP="00887763">
      <w:pPr>
        <w:jc w:val="both"/>
        <w:rPr>
          <w:rFonts w:ascii="Times New Roman" w:hAnsi="Times New Roman" w:cs="Times New Roman"/>
          <w:sz w:val="24"/>
          <w:szCs w:val="24"/>
        </w:rPr>
      </w:pPr>
      <w:r w:rsidRPr="00CC5D1F">
        <w:rPr>
          <w:rFonts w:ascii="Times New Roman" w:hAnsi="Times New Roman" w:cs="Times New Roman"/>
          <w:sz w:val="24"/>
          <w:szCs w:val="24"/>
        </w:rPr>
        <w:t xml:space="preserve">Координирующее ведущее учреждение, возглавляющее национальную платформу СРБ, в состав которой входят специализированные учреждения, включая национальные службы </w:t>
      </w:r>
      <w:r w:rsidRPr="00CC5D1F">
        <w:rPr>
          <w:rFonts w:ascii="Times New Roman" w:hAnsi="Times New Roman" w:cs="Times New Roman"/>
          <w:sz w:val="24"/>
          <w:szCs w:val="24"/>
        </w:rPr>
        <w:lastRenderedPageBreak/>
        <w:t>по борьбе со стихийными бедствиями, службы гражданской обороны и метеорологические службы.</w:t>
      </w:r>
    </w:p>
    <w:p w14:paraId="7769EE66" w14:textId="77777777" w:rsidR="00887763" w:rsidRPr="00601CDD" w:rsidRDefault="00887763" w:rsidP="00887763">
      <w:pPr>
        <w:jc w:val="both"/>
        <w:rPr>
          <w:rFonts w:ascii="Times New Roman" w:hAnsi="Times New Roman" w:cs="Times New Roman"/>
          <w:b/>
          <w:sz w:val="24"/>
          <w:szCs w:val="24"/>
        </w:rPr>
      </w:pPr>
      <w:r w:rsidRPr="00601CDD">
        <w:rPr>
          <w:rFonts w:ascii="Times New Roman" w:hAnsi="Times New Roman" w:cs="Times New Roman"/>
          <w:b/>
          <w:sz w:val="24"/>
          <w:szCs w:val="24"/>
        </w:rPr>
        <w:t>Составители данных</w:t>
      </w:r>
    </w:p>
    <w:p w14:paraId="35EBB84A"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МСУОБ ООН (UNISDR)</w:t>
      </w:r>
    </w:p>
    <w:p w14:paraId="2F09C4D4" w14:textId="77777777" w:rsidR="00887763" w:rsidRPr="00601CDD" w:rsidRDefault="00887763" w:rsidP="00887763">
      <w:pPr>
        <w:jc w:val="both"/>
        <w:rPr>
          <w:rFonts w:ascii="Times New Roman" w:hAnsi="Times New Roman" w:cs="Times New Roman"/>
          <w:b/>
          <w:sz w:val="24"/>
          <w:szCs w:val="24"/>
        </w:rPr>
      </w:pPr>
      <w:r w:rsidRPr="00601CDD">
        <w:rPr>
          <w:rFonts w:ascii="Times New Roman" w:hAnsi="Times New Roman" w:cs="Times New Roman"/>
          <w:b/>
          <w:sz w:val="24"/>
          <w:szCs w:val="24"/>
        </w:rPr>
        <w:t>Ссылки:</w:t>
      </w:r>
    </w:p>
    <w:p w14:paraId="24D0B99B"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URL:</w:t>
      </w:r>
    </w:p>
    <w:p w14:paraId="766D38CF" w14:textId="77777777" w:rsidR="00887763" w:rsidRPr="00601CDD" w:rsidRDefault="00887763" w:rsidP="00887763">
      <w:pPr>
        <w:jc w:val="both"/>
        <w:rPr>
          <w:rFonts w:ascii="Times New Roman" w:hAnsi="Times New Roman" w:cs="Times New Roman"/>
          <w:sz w:val="24"/>
          <w:szCs w:val="24"/>
        </w:rPr>
      </w:pPr>
      <w:hyperlink r:id="rId6" w:history="1">
        <w:r w:rsidRPr="00357F4A">
          <w:rPr>
            <w:rStyle w:val="Hyperlink"/>
            <w:rFonts w:ascii="Times New Roman" w:hAnsi="Times New Roman" w:cs="Times New Roman"/>
            <w:sz w:val="24"/>
            <w:szCs w:val="24"/>
          </w:rPr>
          <w:t>http://www.preventionweb.net/documents/oiewg/Technical%20Collection%20of%20Concept%20Notes%20on%20Indicators.pdf</w:t>
        </w:r>
      </w:hyperlink>
      <w:r w:rsidRPr="00601CDD">
        <w:rPr>
          <w:rFonts w:ascii="Times New Roman" w:hAnsi="Times New Roman" w:cs="Times New Roman"/>
          <w:sz w:val="24"/>
          <w:szCs w:val="24"/>
        </w:rPr>
        <w:t xml:space="preserve"> </w:t>
      </w:r>
    </w:p>
    <w:p w14:paraId="572964AB"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Ссылки:</w:t>
      </w:r>
    </w:p>
    <w:p w14:paraId="6A07DD8B" w14:textId="77777777" w:rsidR="00887763" w:rsidRPr="00601CDD" w:rsidRDefault="00887763" w:rsidP="00887763">
      <w:pPr>
        <w:jc w:val="both"/>
        <w:rPr>
          <w:rFonts w:ascii="Times New Roman" w:hAnsi="Times New Roman" w:cs="Times New Roman"/>
          <w:sz w:val="24"/>
          <w:szCs w:val="24"/>
        </w:rPr>
      </w:pPr>
      <w:r w:rsidRPr="00CC5D1F">
        <w:rPr>
          <w:rFonts w:ascii="Times New Roman" w:hAnsi="Times New Roman" w:cs="Times New Roman"/>
          <w:sz w:val="24"/>
          <w:szCs w:val="24"/>
        </w:rPr>
        <w:t>На Межправительственную рабочую группу экспертов открытого состава по показателям и терминологии, касающимся уменьшения опасности бедствий (</w:t>
      </w:r>
      <w:r w:rsidRPr="00A10700">
        <w:rPr>
          <w:rFonts w:ascii="Times New Roman" w:hAnsi="Times New Roman" w:cs="Times New Roman"/>
          <w:sz w:val="24"/>
          <w:szCs w:val="24"/>
        </w:rPr>
        <w:t>OEIWG</w:t>
      </w:r>
      <w:r w:rsidRPr="00CC5D1F">
        <w:rPr>
          <w:rFonts w:ascii="Times New Roman" w:hAnsi="Times New Roman" w:cs="Times New Roman"/>
          <w:sz w:val="24"/>
          <w:szCs w:val="24"/>
        </w:rPr>
        <w:t xml:space="preserve">), Генеральной Ассамблеей ООН была возложена ответственность за разработку комплекса показателей для оценки глобального прогресса в осуществлении Сендайской рамочной программы, включая семь глобальных целей. </w:t>
      </w:r>
      <w:r w:rsidRPr="00A10700">
        <w:rPr>
          <w:rFonts w:ascii="Times New Roman" w:hAnsi="Times New Roman" w:cs="Times New Roman"/>
          <w:sz w:val="24"/>
          <w:szCs w:val="24"/>
        </w:rPr>
        <w:t>Работа OEIWG должна быть завершена к декабрю 2016 года, а ее доклад представлен Генеральной Ассамблее для рассмотрения. IAEG</w:t>
      </w:r>
      <w:r w:rsidRPr="00601CDD">
        <w:rPr>
          <w:rFonts w:ascii="Times New Roman" w:hAnsi="Times New Roman" w:cs="Times New Roman"/>
          <w:sz w:val="24"/>
          <w:szCs w:val="24"/>
        </w:rPr>
        <w:t>-</w:t>
      </w:r>
      <w:r w:rsidRPr="00A10700">
        <w:rPr>
          <w:rFonts w:ascii="Times New Roman" w:hAnsi="Times New Roman" w:cs="Times New Roman"/>
          <w:sz w:val="24"/>
          <w:szCs w:val="24"/>
        </w:rPr>
        <w:t>SDGs</w:t>
      </w:r>
      <w:r w:rsidRPr="00601CDD">
        <w:rPr>
          <w:rFonts w:ascii="Times New Roman" w:hAnsi="Times New Roman" w:cs="Times New Roman"/>
          <w:sz w:val="24"/>
          <w:szCs w:val="24"/>
        </w:rPr>
        <w:t xml:space="preserve"> и Статистическая комиссия ООН официально признают роль </w:t>
      </w:r>
      <w:r w:rsidRPr="00A10700">
        <w:rPr>
          <w:rFonts w:ascii="Times New Roman" w:hAnsi="Times New Roman" w:cs="Times New Roman"/>
          <w:sz w:val="24"/>
          <w:szCs w:val="24"/>
        </w:rPr>
        <w:t>OEIWG</w:t>
      </w:r>
      <w:r w:rsidRPr="00601CDD">
        <w:rPr>
          <w:rFonts w:ascii="Times New Roman" w:hAnsi="Times New Roman" w:cs="Times New Roman"/>
          <w:sz w:val="24"/>
          <w:szCs w:val="24"/>
        </w:rPr>
        <w:t xml:space="preserve"> и возложили на эту рабочую группу ответственность за дальнейшее совершенствование и разработку методологии определения показателей </w:t>
      </w:r>
      <w:r>
        <w:rPr>
          <w:rFonts w:ascii="Times New Roman" w:hAnsi="Times New Roman" w:cs="Times New Roman"/>
          <w:sz w:val="24"/>
          <w:szCs w:val="24"/>
        </w:rPr>
        <w:t>ЦУР</w:t>
      </w:r>
      <w:r w:rsidRPr="00601CDD">
        <w:rPr>
          <w:rFonts w:ascii="Times New Roman" w:hAnsi="Times New Roman" w:cs="Times New Roman"/>
          <w:sz w:val="24"/>
          <w:szCs w:val="24"/>
        </w:rPr>
        <w:t>, связанных с бедствиями.</w:t>
      </w:r>
    </w:p>
    <w:p w14:paraId="4ACB0D24" w14:textId="77777777" w:rsidR="00887763" w:rsidRPr="00601CDD" w:rsidRDefault="00887763" w:rsidP="00887763">
      <w:pPr>
        <w:jc w:val="both"/>
        <w:rPr>
          <w:rFonts w:ascii="Times New Roman" w:hAnsi="Times New Roman" w:cs="Times New Roman"/>
          <w:sz w:val="24"/>
          <w:szCs w:val="24"/>
        </w:rPr>
      </w:pPr>
      <w:hyperlink r:id="rId7" w:history="1">
        <w:r w:rsidRPr="00357F4A">
          <w:rPr>
            <w:rStyle w:val="Hyperlink"/>
            <w:rFonts w:ascii="Times New Roman" w:hAnsi="Times New Roman" w:cs="Times New Roman"/>
            <w:sz w:val="24"/>
            <w:szCs w:val="24"/>
          </w:rPr>
          <w:t>http</w:t>
        </w:r>
        <w:r w:rsidRPr="00601CDD">
          <w:rPr>
            <w:rStyle w:val="Hyperlink"/>
            <w:rFonts w:ascii="Times New Roman" w:hAnsi="Times New Roman" w:cs="Times New Roman"/>
            <w:sz w:val="24"/>
            <w:szCs w:val="24"/>
          </w:rPr>
          <w:t>://</w:t>
        </w:r>
        <w:r w:rsidRPr="00357F4A">
          <w:rPr>
            <w:rStyle w:val="Hyperlink"/>
            <w:rFonts w:ascii="Times New Roman" w:hAnsi="Times New Roman" w:cs="Times New Roman"/>
            <w:sz w:val="24"/>
            <w:szCs w:val="24"/>
          </w:rPr>
          <w:t>www</w:t>
        </w:r>
        <w:r w:rsidRPr="00601CDD">
          <w:rPr>
            <w:rStyle w:val="Hyperlink"/>
            <w:rFonts w:ascii="Times New Roman" w:hAnsi="Times New Roman" w:cs="Times New Roman"/>
            <w:sz w:val="24"/>
            <w:szCs w:val="24"/>
          </w:rPr>
          <w:t>.</w:t>
        </w:r>
        <w:r w:rsidRPr="00357F4A">
          <w:rPr>
            <w:rStyle w:val="Hyperlink"/>
            <w:rFonts w:ascii="Times New Roman" w:hAnsi="Times New Roman" w:cs="Times New Roman"/>
            <w:sz w:val="24"/>
            <w:szCs w:val="24"/>
          </w:rPr>
          <w:t>preventionweb</w:t>
        </w:r>
        <w:r w:rsidRPr="00601CDD">
          <w:rPr>
            <w:rStyle w:val="Hyperlink"/>
            <w:rFonts w:ascii="Times New Roman" w:hAnsi="Times New Roman" w:cs="Times New Roman"/>
            <w:sz w:val="24"/>
            <w:szCs w:val="24"/>
          </w:rPr>
          <w:t>.</w:t>
        </w:r>
        <w:r w:rsidRPr="00357F4A">
          <w:rPr>
            <w:rStyle w:val="Hyperlink"/>
            <w:rFonts w:ascii="Times New Roman" w:hAnsi="Times New Roman" w:cs="Times New Roman"/>
            <w:sz w:val="24"/>
            <w:szCs w:val="24"/>
          </w:rPr>
          <w:t>net</w:t>
        </w:r>
        <w:r w:rsidRPr="00601CDD">
          <w:rPr>
            <w:rStyle w:val="Hyperlink"/>
            <w:rFonts w:ascii="Times New Roman" w:hAnsi="Times New Roman" w:cs="Times New Roman"/>
            <w:sz w:val="24"/>
            <w:szCs w:val="24"/>
          </w:rPr>
          <w:t>/</w:t>
        </w:r>
        <w:r w:rsidRPr="00357F4A">
          <w:rPr>
            <w:rStyle w:val="Hyperlink"/>
            <w:rFonts w:ascii="Times New Roman" w:hAnsi="Times New Roman" w:cs="Times New Roman"/>
            <w:sz w:val="24"/>
            <w:szCs w:val="24"/>
          </w:rPr>
          <w:t>drr</w:t>
        </w:r>
        <w:r w:rsidRPr="00601CDD">
          <w:rPr>
            <w:rStyle w:val="Hyperlink"/>
            <w:rFonts w:ascii="Times New Roman" w:hAnsi="Times New Roman" w:cs="Times New Roman"/>
            <w:sz w:val="24"/>
            <w:szCs w:val="24"/>
          </w:rPr>
          <w:t>-</w:t>
        </w:r>
        <w:r w:rsidRPr="00357F4A">
          <w:rPr>
            <w:rStyle w:val="Hyperlink"/>
            <w:rFonts w:ascii="Times New Roman" w:hAnsi="Times New Roman" w:cs="Times New Roman"/>
            <w:sz w:val="24"/>
            <w:szCs w:val="24"/>
          </w:rPr>
          <w:t>framework</w:t>
        </w:r>
        <w:r w:rsidRPr="00601CDD">
          <w:rPr>
            <w:rStyle w:val="Hyperlink"/>
            <w:rFonts w:ascii="Times New Roman" w:hAnsi="Times New Roman" w:cs="Times New Roman"/>
            <w:sz w:val="24"/>
            <w:szCs w:val="24"/>
          </w:rPr>
          <w:t>/</w:t>
        </w:r>
        <w:r w:rsidRPr="00357F4A">
          <w:rPr>
            <w:rStyle w:val="Hyperlink"/>
            <w:rFonts w:ascii="Times New Roman" w:hAnsi="Times New Roman" w:cs="Times New Roman"/>
            <w:sz w:val="24"/>
            <w:szCs w:val="24"/>
          </w:rPr>
          <w:t>open</w:t>
        </w:r>
        <w:r w:rsidRPr="00601CDD">
          <w:rPr>
            <w:rStyle w:val="Hyperlink"/>
            <w:rFonts w:ascii="Times New Roman" w:hAnsi="Times New Roman" w:cs="Times New Roman"/>
            <w:sz w:val="24"/>
            <w:szCs w:val="24"/>
          </w:rPr>
          <w:t>-</w:t>
        </w:r>
        <w:r w:rsidRPr="00357F4A">
          <w:rPr>
            <w:rStyle w:val="Hyperlink"/>
            <w:rFonts w:ascii="Times New Roman" w:hAnsi="Times New Roman" w:cs="Times New Roman"/>
            <w:sz w:val="24"/>
            <w:szCs w:val="24"/>
          </w:rPr>
          <w:t>ended</w:t>
        </w:r>
        <w:r w:rsidRPr="00601CDD">
          <w:rPr>
            <w:rStyle w:val="Hyperlink"/>
            <w:rFonts w:ascii="Times New Roman" w:hAnsi="Times New Roman" w:cs="Times New Roman"/>
            <w:sz w:val="24"/>
            <w:szCs w:val="24"/>
          </w:rPr>
          <w:t>-</w:t>
        </w:r>
        <w:r w:rsidRPr="00357F4A">
          <w:rPr>
            <w:rStyle w:val="Hyperlink"/>
            <w:rFonts w:ascii="Times New Roman" w:hAnsi="Times New Roman" w:cs="Times New Roman"/>
            <w:sz w:val="24"/>
            <w:szCs w:val="24"/>
          </w:rPr>
          <w:t>working</w:t>
        </w:r>
        <w:r w:rsidRPr="00601CDD">
          <w:rPr>
            <w:rStyle w:val="Hyperlink"/>
            <w:rFonts w:ascii="Times New Roman" w:hAnsi="Times New Roman" w:cs="Times New Roman"/>
            <w:sz w:val="24"/>
            <w:szCs w:val="24"/>
          </w:rPr>
          <w:t>-</w:t>
        </w:r>
        <w:r w:rsidRPr="00357F4A">
          <w:rPr>
            <w:rStyle w:val="Hyperlink"/>
            <w:rFonts w:ascii="Times New Roman" w:hAnsi="Times New Roman" w:cs="Times New Roman"/>
            <w:sz w:val="24"/>
            <w:szCs w:val="24"/>
          </w:rPr>
          <w:t>group</w:t>
        </w:r>
        <w:r w:rsidRPr="00601CDD">
          <w:rPr>
            <w:rStyle w:val="Hyperlink"/>
            <w:rFonts w:ascii="Times New Roman" w:hAnsi="Times New Roman" w:cs="Times New Roman"/>
            <w:sz w:val="24"/>
            <w:szCs w:val="24"/>
          </w:rPr>
          <w:t>/</w:t>
        </w:r>
      </w:hyperlink>
      <w:r>
        <w:rPr>
          <w:rFonts w:ascii="Times New Roman" w:hAnsi="Times New Roman" w:cs="Times New Roman"/>
          <w:sz w:val="24"/>
          <w:szCs w:val="24"/>
        </w:rPr>
        <w:t xml:space="preserve"> </w:t>
      </w:r>
    </w:p>
    <w:p w14:paraId="6AC3EA47" w14:textId="77777777" w:rsidR="00887763" w:rsidRPr="00A10700" w:rsidRDefault="00887763" w:rsidP="00887763">
      <w:pPr>
        <w:jc w:val="both"/>
        <w:rPr>
          <w:rFonts w:ascii="Times New Roman" w:hAnsi="Times New Roman" w:cs="Times New Roman"/>
          <w:sz w:val="24"/>
          <w:szCs w:val="24"/>
        </w:rPr>
      </w:pPr>
      <w:r w:rsidRPr="00A10700">
        <w:rPr>
          <w:rFonts w:ascii="Times New Roman" w:hAnsi="Times New Roman" w:cs="Times New Roman"/>
          <w:sz w:val="24"/>
          <w:szCs w:val="24"/>
        </w:rPr>
        <w:t>Последняя версия документов находится по адресу:</w:t>
      </w:r>
    </w:p>
    <w:p w14:paraId="78FF9B94" w14:textId="77777777" w:rsidR="00887763" w:rsidRPr="00601CDD" w:rsidRDefault="00887763" w:rsidP="00887763">
      <w:pPr>
        <w:jc w:val="both"/>
        <w:rPr>
          <w:rFonts w:ascii="Times New Roman" w:hAnsi="Times New Roman" w:cs="Times New Roman"/>
          <w:sz w:val="24"/>
          <w:szCs w:val="24"/>
        </w:rPr>
      </w:pPr>
      <w:hyperlink r:id="rId8" w:history="1">
        <w:r w:rsidRPr="00357F4A">
          <w:rPr>
            <w:rStyle w:val="Hyperlink"/>
            <w:rFonts w:ascii="Times New Roman" w:hAnsi="Times New Roman" w:cs="Times New Roman"/>
            <w:sz w:val="24"/>
            <w:szCs w:val="24"/>
          </w:rPr>
          <w:t>http://www.preventionweb.net/drr-framework/open-ended-working-group/sessional-intersessional-documents</w:t>
        </w:r>
      </w:hyperlink>
      <w:r w:rsidRPr="00601CDD">
        <w:rPr>
          <w:rFonts w:ascii="Times New Roman" w:hAnsi="Times New Roman" w:cs="Times New Roman"/>
          <w:sz w:val="24"/>
          <w:szCs w:val="24"/>
        </w:rPr>
        <w:t xml:space="preserve"> </w:t>
      </w:r>
    </w:p>
    <w:p w14:paraId="01006B4A" w14:textId="77777777" w:rsidR="00887763" w:rsidRPr="00601CDD" w:rsidRDefault="00887763" w:rsidP="00887763">
      <w:pPr>
        <w:jc w:val="both"/>
        <w:rPr>
          <w:rFonts w:ascii="Times New Roman" w:hAnsi="Times New Roman" w:cs="Times New Roman"/>
          <w:b/>
          <w:sz w:val="24"/>
          <w:szCs w:val="24"/>
        </w:rPr>
      </w:pPr>
      <w:r w:rsidRPr="00601CDD">
        <w:rPr>
          <w:rFonts w:ascii="Times New Roman" w:hAnsi="Times New Roman" w:cs="Times New Roman"/>
          <w:b/>
          <w:sz w:val="24"/>
          <w:szCs w:val="24"/>
        </w:rPr>
        <w:t>Связанные показатели:</w:t>
      </w:r>
    </w:p>
    <w:p w14:paraId="0820A65D" w14:textId="77777777" w:rsidR="00887763" w:rsidRPr="00A10700" w:rsidRDefault="00887763" w:rsidP="00887763">
      <w:pPr>
        <w:jc w:val="both"/>
        <w:rPr>
          <w:rFonts w:ascii="Times New Roman" w:hAnsi="Times New Roman" w:cs="Times New Roman"/>
          <w:sz w:val="24"/>
          <w:szCs w:val="24"/>
        </w:rPr>
      </w:pPr>
      <w:r w:rsidRPr="00C97707">
        <w:rPr>
          <w:rFonts w:ascii="Times New Roman" w:hAnsi="Times New Roman" w:cs="Times New Roman"/>
          <w:sz w:val="24"/>
          <w:szCs w:val="24"/>
        </w:rPr>
        <w:t>1.5; 11.5; 11.b; 13.1; 2.4; 3.6; 3.9; 3.d; 4.a; 6.6; 9.1; 9.a; 11.1; 11.3; 11.c; 13.2; 13.3; 13.a; 13.b; 14.2; 15.1;</w:t>
      </w:r>
      <w:r w:rsidRPr="00887763">
        <w:rPr>
          <w:rFonts w:ascii="Times New Roman" w:hAnsi="Times New Roman" w:cs="Times New Roman"/>
          <w:sz w:val="24"/>
          <w:szCs w:val="24"/>
        </w:rPr>
        <w:t xml:space="preserve"> </w:t>
      </w:r>
      <w:r w:rsidRPr="00C97707">
        <w:rPr>
          <w:rFonts w:ascii="Times New Roman" w:hAnsi="Times New Roman" w:cs="Times New Roman"/>
          <w:sz w:val="24"/>
          <w:szCs w:val="24"/>
        </w:rPr>
        <w:t>15.2; 15.3; 15.9.</w:t>
      </w:r>
    </w:p>
    <w:p w14:paraId="679B0544" w14:textId="77777777" w:rsidR="00887763" w:rsidRPr="00A10700" w:rsidRDefault="00887763" w:rsidP="00887763">
      <w:pPr>
        <w:jc w:val="both"/>
        <w:rPr>
          <w:rFonts w:ascii="Times New Roman" w:hAnsi="Times New Roman" w:cs="Times New Roman"/>
          <w:sz w:val="24"/>
          <w:szCs w:val="24"/>
        </w:rPr>
      </w:pPr>
    </w:p>
    <w:p w14:paraId="5ADF21B6" w14:textId="77777777" w:rsidR="00B21F44" w:rsidRPr="00887763" w:rsidRDefault="00887763" w:rsidP="00887763">
      <w:bookmarkStart w:id="0" w:name="_GoBack"/>
      <w:bookmarkEnd w:id="0"/>
    </w:p>
    <w:sectPr w:rsidR="00B21F44" w:rsidRPr="00887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3563"/>
    <w:multiLevelType w:val="hybridMultilevel"/>
    <w:tmpl w:val="FEDCE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FDD"/>
    <w:rsid w:val="00150FDD"/>
    <w:rsid w:val="005E16C1"/>
    <w:rsid w:val="00887763"/>
    <w:rsid w:val="00A34C85"/>
    <w:rsid w:val="00C977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D0BA"/>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70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7707"/>
    <w:rPr>
      <w:color w:val="0000FF"/>
      <w:u w:val="single"/>
    </w:rPr>
  </w:style>
  <w:style w:type="paragraph" w:styleId="ListParagraph">
    <w:name w:val="List Paragraph"/>
    <w:basedOn w:val="Normal"/>
    <w:uiPriority w:val="99"/>
    <w:unhideWhenUsed/>
    <w:rsid w:val="00C97707"/>
    <w:pPr>
      <w:spacing w:after="200" w:line="276" w:lineRule="auto"/>
      <w:ind w:left="720"/>
      <w:contextualSpacing/>
    </w:pPr>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tionweb.net/drr-framework/open-ended-working-group/sessional-intersessional-documents" TargetMode="External"/><Relationship Id="rId3" Type="http://schemas.openxmlformats.org/officeDocument/2006/relationships/settings" Target="settings.xml"/><Relationship Id="rId7" Type="http://schemas.openxmlformats.org/officeDocument/2006/relationships/hyperlink" Target="http://www.preventionweb.net/drr-framework/open-ended-working-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ventionweb.net/documents/oiewg/Technical%20Collection%20of%20Concept%20Notes%20on%20Indicators.pdf" TargetMode="External"/><Relationship Id="rId5" Type="http://schemas.openxmlformats.org/officeDocument/2006/relationships/hyperlink" Target="http://www.preventionweb.net/documents/oiewg/Technical%20Collection%20of%20Concept%20Notes%20on%20Indicator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Microsoft Office User</cp:lastModifiedBy>
  <cp:revision>3</cp:revision>
  <dcterms:created xsi:type="dcterms:W3CDTF">2018-04-18T14:35:00Z</dcterms:created>
  <dcterms:modified xsi:type="dcterms:W3CDTF">2021-08-19T16:49:00Z</dcterms:modified>
</cp:coreProperties>
</file>