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FBB3" w14:textId="77777777" w:rsidR="00271C02" w:rsidRPr="006C4574" w:rsidRDefault="00271C02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11 Обеспечение открытости, безопасности, жизнестойкости и экологической устойчивости городов и населенных пунктов</w:t>
      </w:r>
    </w:p>
    <w:p w14:paraId="146CAFD0" w14:textId="77777777" w:rsidR="00271C02" w:rsidRPr="006C4574" w:rsidRDefault="00271C02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A1715E" w14:textId="77777777" w:rsidR="00271C02" w:rsidRPr="006C4574" w:rsidRDefault="00271C02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11.b К 2020 году значительно увеличить число городов и населенных пунктов, принявших и осуществляющих комплексные стратегии и планы, направленные на устранение социальных барьеров, повышение эффективности использования ресурсов, смягчение последствий изменения климата, адаптацию к его изменению и способность противостоять стихийным бедствиям, и разработать и внедрить в соответствии с </w:t>
      </w:r>
      <w:proofErr w:type="spellStart"/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Сендайской</w:t>
      </w:r>
      <w:proofErr w:type="spellEnd"/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рамочной программой по снижению риска бедствий на 2015–2030 годы меры по комплексному управлению связанными с бедствиями рисками на всех уровнях</w:t>
      </w:r>
    </w:p>
    <w:p w14:paraId="5486DC78" w14:textId="77777777" w:rsidR="00271C02" w:rsidRPr="006C4574" w:rsidRDefault="00271C02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C4BFB5" w14:textId="77777777" w:rsidR="00271C02" w:rsidRPr="006C4574" w:rsidRDefault="00271C02" w:rsidP="00271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11.b.1 Число стран, принявших и осуществляющих национальные стратегии снижения риска бедствий в соответствии с </w:t>
      </w:r>
      <w:proofErr w:type="spellStart"/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Сендайской</w:t>
      </w:r>
      <w:proofErr w:type="spellEnd"/>
      <w:r w:rsidRPr="006C4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рамочной программой по снижению риска бедствий на 2015-2030 годы</w:t>
      </w:r>
    </w:p>
    <w:p w14:paraId="1AFB73F9" w14:textId="77777777" w:rsidR="00271C02" w:rsidRDefault="00271C02" w:rsidP="00271C02"/>
    <w:p w14:paraId="3B9CDC8B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6C4574">
        <w:rPr>
          <w:rFonts w:ascii="Times New Roman" w:hAnsi="Times New Roman" w:cs="Times New Roman"/>
          <w:b/>
          <w:sz w:val="24"/>
        </w:rPr>
        <w:t>Институциональная информация</w:t>
      </w:r>
    </w:p>
    <w:p w14:paraId="0BC5861C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>Организация(и):</w:t>
      </w:r>
    </w:p>
    <w:p w14:paraId="33B689D5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>Управление Организации Объединенных Наций по уменьшению опасности бедствий (МСУОБ ООН)</w:t>
      </w:r>
    </w:p>
    <w:p w14:paraId="7CD289EA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6C4574">
        <w:rPr>
          <w:rFonts w:ascii="Times New Roman" w:hAnsi="Times New Roman" w:cs="Times New Roman"/>
          <w:b/>
          <w:sz w:val="24"/>
        </w:rPr>
        <w:t>Концепции и определения</w:t>
      </w:r>
    </w:p>
    <w:p w14:paraId="3401D889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>Определение:</w:t>
      </w:r>
    </w:p>
    <w:p w14:paraId="45DCC36E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применимо</w:t>
      </w:r>
    </w:p>
    <w:p w14:paraId="41422DA0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6C457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</w:t>
      </w:r>
      <w:r w:rsidRPr="006C4574">
        <w:rPr>
          <w:rFonts w:ascii="Times New Roman" w:hAnsi="Times New Roman" w:cs="Times New Roman"/>
          <w:sz w:val="24"/>
        </w:rPr>
        <w:t xml:space="preserve">Межправительственная рабочая группа экспертов открытого состава по показателям и терминологии, касающимся уменьшения опасности бедствий, учрежденная Генеральной Ассамблеей (резолюция 69/284), разрабатывает набор показателей для оценки глобального прогресса в осуществлении </w:t>
      </w:r>
      <w:proofErr w:type="spellStart"/>
      <w:r w:rsidRPr="006C4574">
        <w:rPr>
          <w:rFonts w:ascii="Times New Roman" w:hAnsi="Times New Roman" w:cs="Times New Roman"/>
          <w:sz w:val="24"/>
        </w:rPr>
        <w:t>Сендайской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Рамочной программы. Эти показатели в конечном итоге будут отражать договоренности по показателям </w:t>
      </w:r>
      <w:proofErr w:type="spellStart"/>
      <w:r w:rsidRPr="006C4574">
        <w:rPr>
          <w:rFonts w:ascii="Times New Roman" w:hAnsi="Times New Roman" w:cs="Times New Roman"/>
          <w:sz w:val="24"/>
        </w:rPr>
        <w:t>Сендайской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Рамочной программы.</w:t>
      </w:r>
    </w:p>
    <w:p w14:paraId="22DD24B9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>Обоснование:</w:t>
      </w:r>
    </w:p>
    <w:p w14:paraId="18D69FA2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Показатель</w:t>
      </w:r>
      <w:r w:rsidRPr="006C4574">
        <w:rPr>
          <w:rFonts w:ascii="Times New Roman" w:hAnsi="Times New Roman" w:cs="Times New Roman"/>
          <w:sz w:val="24"/>
        </w:rPr>
        <w:t xml:space="preserve"> построит мост между </w:t>
      </w:r>
      <w:proofErr w:type="spellStart"/>
      <w:r w:rsidRPr="006C4574">
        <w:rPr>
          <w:rFonts w:ascii="Times New Roman" w:hAnsi="Times New Roman" w:cs="Times New Roman"/>
          <w:sz w:val="24"/>
        </w:rPr>
        <w:t>Цур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C4574">
        <w:rPr>
          <w:rFonts w:ascii="Times New Roman" w:hAnsi="Times New Roman" w:cs="Times New Roman"/>
          <w:sz w:val="24"/>
        </w:rPr>
        <w:t>Сендайской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платформой для </w:t>
      </w:r>
      <w:r>
        <w:rPr>
          <w:rFonts w:ascii="Times New Roman" w:hAnsi="Times New Roman" w:cs="Times New Roman"/>
          <w:sz w:val="24"/>
        </w:rPr>
        <w:t>снижения риска бедствий (</w:t>
      </w:r>
      <w:r w:rsidRPr="006C4574">
        <w:rPr>
          <w:rFonts w:ascii="Times New Roman" w:hAnsi="Times New Roman" w:cs="Times New Roman"/>
          <w:sz w:val="24"/>
        </w:rPr>
        <w:t>СРБ</w:t>
      </w:r>
      <w:r>
        <w:rPr>
          <w:rFonts w:ascii="Times New Roman" w:hAnsi="Times New Roman" w:cs="Times New Roman"/>
          <w:sz w:val="24"/>
        </w:rPr>
        <w:t>)</w:t>
      </w:r>
      <w:r w:rsidRPr="006C4574">
        <w:rPr>
          <w:rFonts w:ascii="Times New Roman" w:hAnsi="Times New Roman" w:cs="Times New Roman"/>
          <w:sz w:val="24"/>
        </w:rPr>
        <w:t xml:space="preserve">. Увеличение числа национальных правительств, которые принимают и осуществляют национальные и местные стратегии СРБ, к чему призывает </w:t>
      </w:r>
      <w:proofErr w:type="spellStart"/>
      <w:r w:rsidRPr="006C4574">
        <w:rPr>
          <w:rFonts w:ascii="Times New Roman" w:hAnsi="Times New Roman" w:cs="Times New Roman"/>
          <w:sz w:val="24"/>
        </w:rPr>
        <w:t>Сендайская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Рамочная программа, будет способствовать устойчивому развитию с экономической, экологической и социальной точек зрения.</w:t>
      </w:r>
    </w:p>
    <w:p w14:paraId="7CB6B5D5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6C4574">
        <w:rPr>
          <w:rFonts w:ascii="Times New Roman" w:hAnsi="Times New Roman" w:cs="Times New Roman"/>
          <w:b/>
          <w:sz w:val="24"/>
        </w:rPr>
        <w:t>Комментарии и ограничения:</w:t>
      </w:r>
    </w:p>
    <w:p w14:paraId="086A9E20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6C4574">
        <w:rPr>
          <w:rFonts w:ascii="Times New Roman" w:hAnsi="Times New Roman" w:cs="Times New Roman"/>
          <w:sz w:val="24"/>
        </w:rPr>
        <w:t xml:space="preserve">Модуль контроля за осуществлением </w:t>
      </w:r>
      <w:proofErr w:type="spellStart"/>
      <w:r w:rsidRPr="006C4574">
        <w:rPr>
          <w:rFonts w:ascii="Times New Roman" w:hAnsi="Times New Roman" w:cs="Times New Roman"/>
          <w:sz w:val="24"/>
        </w:rPr>
        <w:t>Хиогской</w:t>
      </w:r>
      <w:proofErr w:type="spellEnd"/>
      <w:r w:rsidRPr="006C4574">
        <w:rPr>
          <w:rFonts w:ascii="Times New Roman" w:hAnsi="Times New Roman" w:cs="Times New Roman"/>
          <w:sz w:val="24"/>
        </w:rPr>
        <w:t xml:space="preserve"> рамочной программы </w:t>
      </w:r>
      <w:r>
        <w:rPr>
          <w:rFonts w:ascii="Times New Roman" w:hAnsi="Times New Roman" w:cs="Times New Roman"/>
          <w:sz w:val="24"/>
        </w:rPr>
        <w:t xml:space="preserve">(ХРП) </w:t>
      </w:r>
      <w:r w:rsidRPr="006C4574">
        <w:rPr>
          <w:rFonts w:ascii="Times New Roman" w:hAnsi="Times New Roman" w:cs="Times New Roman"/>
          <w:sz w:val="24"/>
        </w:rPr>
        <w:t xml:space="preserve">начался в 2007 году, и со временем число стран, отчитывающихся перед МСУОБ ООН, увеличилось с 60 в 2007 году до 140+ стран, которые в настоящее время проводят добровольную самооценку прогресса в реализации </w:t>
      </w:r>
      <w:r>
        <w:rPr>
          <w:rFonts w:ascii="Times New Roman" w:hAnsi="Times New Roman" w:cs="Times New Roman"/>
          <w:sz w:val="24"/>
        </w:rPr>
        <w:t>ХРП</w:t>
      </w:r>
      <w:r w:rsidRPr="006C4574">
        <w:rPr>
          <w:rFonts w:ascii="Times New Roman" w:hAnsi="Times New Roman" w:cs="Times New Roman"/>
          <w:sz w:val="24"/>
        </w:rPr>
        <w:t>. В течение четырех циклов отчетности до 2015 года монитор</w:t>
      </w:r>
      <w:r>
        <w:rPr>
          <w:rFonts w:ascii="Times New Roman" w:hAnsi="Times New Roman" w:cs="Times New Roman"/>
          <w:sz w:val="24"/>
        </w:rPr>
        <w:t xml:space="preserve">инг ХРП </w:t>
      </w:r>
      <w:r w:rsidRPr="006C4574">
        <w:rPr>
          <w:rFonts w:ascii="Times New Roman" w:hAnsi="Times New Roman" w:cs="Times New Roman"/>
          <w:sz w:val="24"/>
        </w:rPr>
        <w:t xml:space="preserve">создал крупнейшее в мире хранилище информации, в частности, о </w:t>
      </w:r>
      <w:r w:rsidRPr="006C4574">
        <w:rPr>
          <w:rFonts w:ascii="Times New Roman" w:hAnsi="Times New Roman" w:cs="Times New Roman"/>
          <w:sz w:val="24"/>
        </w:rPr>
        <w:lastRenderedPageBreak/>
        <w:t xml:space="preserve">национальной политике в области СРБ. </w:t>
      </w:r>
      <w:r w:rsidRPr="00F0507A">
        <w:rPr>
          <w:rFonts w:ascii="Times New Roman" w:hAnsi="Times New Roman" w:cs="Times New Roman"/>
          <w:sz w:val="24"/>
        </w:rPr>
        <w:t xml:space="preserve">Его преемник, условно названный </w:t>
      </w:r>
      <w:proofErr w:type="spellStart"/>
      <w:r w:rsidRPr="00F0507A">
        <w:rPr>
          <w:rFonts w:ascii="Times New Roman" w:hAnsi="Times New Roman" w:cs="Times New Roman"/>
          <w:sz w:val="24"/>
        </w:rPr>
        <w:t>Сендайский</w:t>
      </w:r>
      <w:proofErr w:type="spellEnd"/>
      <w:r w:rsidRPr="00F0507A">
        <w:rPr>
          <w:rFonts w:ascii="Times New Roman" w:hAnsi="Times New Roman" w:cs="Times New Roman"/>
          <w:sz w:val="24"/>
        </w:rPr>
        <w:t xml:space="preserve"> мониторинг, находится в стадии разработки и будет учитывать рекомендации Межправительственной рабочей группы открытого состава (OEIWG).</w:t>
      </w:r>
      <w:r w:rsidRPr="006C4574">
        <w:rPr>
          <w:rFonts w:ascii="Times New Roman" w:hAnsi="Times New Roman" w:cs="Times New Roman"/>
          <w:sz w:val="24"/>
        </w:rPr>
        <w:t xml:space="preserve"> Ожидается, что в 2016-2017 годах будет создан базовый уровень по состоянию на 2015 год, который облегчит отчетность о прогрессе в достижении соответствующих целей как </w:t>
      </w:r>
      <w:proofErr w:type="spellStart"/>
      <w:r w:rsidRPr="006C4574">
        <w:rPr>
          <w:rFonts w:ascii="Times New Roman" w:hAnsi="Times New Roman" w:cs="Times New Roman"/>
          <w:sz w:val="24"/>
        </w:rPr>
        <w:t>Сендайс</w:t>
      </w:r>
      <w:r>
        <w:rPr>
          <w:rFonts w:ascii="Times New Roman" w:hAnsi="Times New Roman" w:cs="Times New Roman"/>
          <w:sz w:val="24"/>
        </w:rPr>
        <w:t>кой</w:t>
      </w:r>
      <w:proofErr w:type="spellEnd"/>
      <w:r>
        <w:rPr>
          <w:rFonts w:ascii="Times New Roman" w:hAnsi="Times New Roman" w:cs="Times New Roman"/>
          <w:sz w:val="24"/>
        </w:rPr>
        <w:t xml:space="preserve"> Рамочной программы, так и ЦУР</w:t>
      </w:r>
      <w:r w:rsidRPr="006C4574">
        <w:rPr>
          <w:rFonts w:ascii="Times New Roman" w:hAnsi="Times New Roman" w:cs="Times New Roman"/>
          <w:sz w:val="24"/>
        </w:rPr>
        <w:t>.</w:t>
      </w:r>
    </w:p>
    <w:p w14:paraId="7D40DAE8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F0507A">
        <w:rPr>
          <w:rFonts w:ascii="Times New Roman" w:hAnsi="Times New Roman" w:cs="Times New Roman"/>
          <w:sz w:val="24"/>
        </w:rPr>
        <w:t>Члены как OEIWG</w:t>
      </w:r>
      <w:r>
        <w:rPr>
          <w:rFonts w:ascii="Times New Roman" w:hAnsi="Times New Roman" w:cs="Times New Roman"/>
          <w:sz w:val="24"/>
        </w:rPr>
        <w:t>, так и М</w:t>
      </w:r>
      <w:r w:rsidRPr="00F0507A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Г</w:t>
      </w:r>
      <w:r w:rsidRPr="00F0507A">
        <w:rPr>
          <w:rFonts w:ascii="Times New Roman" w:hAnsi="Times New Roman" w:cs="Times New Roman"/>
          <w:sz w:val="24"/>
        </w:rPr>
        <w:t>-Ц</w:t>
      </w:r>
      <w:r>
        <w:rPr>
          <w:rFonts w:ascii="Times New Roman" w:hAnsi="Times New Roman" w:cs="Times New Roman"/>
          <w:sz w:val="24"/>
        </w:rPr>
        <w:t>УР</w:t>
      </w:r>
      <w:r w:rsidRPr="00F0507A">
        <w:rPr>
          <w:rFonts w:ascii="Times New Roman" w:hAnsi="Times New Roman" w:cs="Times New Roman"/>
          <w:sz w:val="24"/>
        </w:rPr>
        <w:t xml:space="preserve"> рассмотрели вопрос о том, что показатели, которые просто подсчитывают число стран, не рекомендуются, а вме</w:t>
      </w:r>
      <w:r>
        <w:rPr>
          <w:rFonts w:ascii="Times New Roman" w:hAnsi="Times New Roman" w:cs="Times New Roman"/>
          <w:sz w:val="24"/>
        </w:rPr>
        <w:t xml:space="preserve">сто этого поощряются показатели, </w:t>
      </w:r>
      <w:r w:rsidRPr="00F0507A">
        <w:rPr>
          <w:rFonts w:ascii="Times New Roman" w:hAnsi="Times New Roman" w:cs="Times New Roman"/>
          <w:sz w:val="24"/>
        </w:rPr>
        <w:t>измер</w:t>
      </w:r>
      <w:r>
        <w:rPr>
          <w:rFonts w:ascii="Times New Roman" w:hAnsi="Times New Roman" w:cs="Times New Roman"/>
          <w:sz w:val="24"/>
        </w:rPr>
        <w:t>яющие</w:t>
      </w:r>
      <w:r w:rsidRPr="00F0507A">
        <w:rPr>
          <w:rFonts w:ascii="Times New Roman" w:hAnsi="Times New Roman" w:cs="Times New Roman"/>
          <w:sz w:val="24"/>
        </w:rPr>
        <w:t xml:space="preserve"> прогресс с течением времени. В дополнение к обсуждениям в рамках OEIWG</w:t>
      </w:r>
      <w:r>
        <w:rPr>
          <w:rFonts w:ascii="Times New Roman" w:hAnsi="Times New Roman" w:cs="Times New Roman"/>
          <w:sz w:val="24"/>
        </w:rPr>
        <w:t>, а также М</w:t>
      </w:r>
      <w:r w:rsidRPr="00F0507A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Г</w:t>
      </w:r>
      <w:r w:rsidRPr="00F0507A">
        <w:rPr>
          <w:rFonts w:ascii="Times New Roman" w:hAnsi="Times New Roman" w:cs="Times New Roman"/>
          <w:sz w:val="24"/>
        </w:rPr>
        <w:t xml:space="preserve">, МСУОБ ООН предложила методологии расчета, которые позволяют осуществлять мониторинг совершенствования национальных и местных стратегий СРБ с течением времени. Эти методологии варьируются от простой количественной оценки числа этих стратегий до качественной оценки соответствия </w:t>
      </w:r>
      <w:proofErr w:type="spellStart"/>
      <w:r w:rsidRPr="00F0507A">
        <w:rPr>
          <w:rFonts w:ascii="Times New Roman" w:hAnsi="Times New Roman" w:cs="Times New Roman"/>
          <w:sz w:val="24"/>
        </w:rPr>
        <w:t>Сендайской</w:t>
      </w:r>
      <w:proofErr w:type="spellEnd"/>
      <w:r w:rsidRPr="00F0507A">
        <w:rPr>
          <w:rFonts w:ascii="Times New Roman" w:hAnsi="Times New Roman" w:cs="Times New Roman"/>
          <w:sz w:val="24"/>
        </w:rPr>
        <w:t xml:space="preserve"> Рамочной программе, а также охвата населения местными стратегиями.</w:t>
      </w:r>
    </w:p>
    <w:p w14:paraId="3C1AF9B5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7F13E2">
        <w:rPr>
          <w:rFonts w:ascii="Times New Roman" w:hAnsi="Times New Roman" w:cs="Times New Roman"/>
          <w:b/>
          <w:sz w:val="24"/>
        </w:rPr>
        <w:t>Методология</w:t>
      </w:r>
    </w:p>
    <w:p w14:paraId="71EA5F4E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Метод расчета:</w:t>
      </w:r>
    </w:p>
    <w:p w14:paraId="47572946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 xml:space="preserve">Примечание: методология расчета нескольких показателей является весьма всеобъемлющей, очень длинной (около 180 страниц) и, вероятно, выходит за рамки этих метаданных. МСУОБ ООН предпочитает ссылаться на итоги работы Межправительственной рабочей группы </w:t>
      </w:r>
      <w:r>
        <w:rPr>
          <w:rFonts w:ascii="Times New Roman" w:hAnsi="Times New Roman" w:cs="Times New Roman"/>
          <w:sz w:val="24"/>
        </w:rPr>
        <w:t>о</w:t>
      </w:r>
      <w:r w:rsidRPr="007F13E2">
        <w:rPr>
          <w:rFonts w:ascii="Times New Roman" w:hAnsi="Times New Roman" w:cs="Times New Roman"/>
          <w:sz w:val="24"/>
        </w:rPr>
        <w:t xml:space="preserve">ткрытого состава, которая предоставляет полную подробную методологию для каждого показателя и </w:t>
      </w:r>
      <w:proofErr w:type="spellStart"/>
      <w:r w:rsidRPr="007F13E2">
        <w:rPr>
          <w:rFonts w:ascii="Times New Roman" w:hAnsi="Times New Roman" w:cs="Times New Roman"/>
          <w:sz w:val="24"/>
        </w:rPr>
        <w:t>субиндикатора</w:t>
      </w:r>
      <w:proofErr w:type="spellEnd"/>
      <w:r w:rsidRPr="007F13E2">
        <w:rPr>
          <w:rFonts w:ascii="Times New Roman" w:hAnsi="Times New Roman" w:cs="Times New Roman"/>
          <w:sz w:val="24"/>
        </w:rPr>
        <w:t>.</w:t>
      </w:r>
    </w:p>
    <w:p w14:paraId="75D738AB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Последнюю версию этих методологий можно получить по адресу:</w:t>
      </w:r>
      <w:r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DA698D">
          <w:rPr>
            <w:rStyle w:val="Hyperlink"/>
            <w:rFonts w:ascii="Times New Roman" w:hAnsi="Times New Roman" w:cs="Times New Roman"/>
            <w:sz w:val="24"/>
          </w:rPr>
          <w:t>http://www.preventionweb.net/documents/oiewg/Technical%20Collection%20of%20Concept%20Notes%20on%20Indicators.pdf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CA5FAF2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Краткое резюме:</w:t>
      </w:r>
    </w:p>
    <w:p w14:paraId="6698F572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 xml:space="preserve">Суммирование данных из национальных докладов о ходе работы </w:t>
      </w:r>
      <w:proofErr w:type="spellStart"/>
      <w:r w:rsidRPr="007F13E2">
        <w:rPr>
          <w:rFonts w:ascii="Times New Roman" w:hAnsi="Times New Roman" w:cs="Times New Roman"/>
          <w:sz w:val="24"/>
        </w:rPr>
        <w:t>Сендайского</w:t>
      </w:r>
      <w:proofErr w:type="spellEnd"/>
      <w:r w:rsidRPr="007F13E2">
        <w:rPr>
          <w:rFonts w:ascii="Times New Roman" w:hAnsi="Times New Roman" w:cs="Times New Roman"/>
          <w:sz w:val="24"/>
        </w:rPr>
        <w:t xml:space="preserve"> мониторинга</w:t>
      </w:r>
    </w:p>
    <w:p w14:paraId="150D06F6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F13E2">
        <w:rPr>
          <w:rFonts w:ascii="Times New Roman" w:hAnsi="Times New Roman" w:cs="Times New Roman"/>
          <w:b/>
          <w:sz w:val="24"/>
        </w:rPr>
        <w:t>Дезагрегация</w:t>
      </w:r>
      <w:proofErr w:type="spellEnd"/>
      <w:r w:rsidRPr="007F13E2">
        <w:rPr>
          <w:rFonts w:ascii="Times New Roman" w:hAnsi="Times New Roman" w:cs="Times New Roman"/>
          <w:b/>
          <w:sz w:val="24"/>
        </w:rPr>
        <w:t xml:space="preserve">:  </w:t>
      </w:r>
    </w:p>
    <w:p w14:paraId="2FD0B81A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По странам</w:t>
      </w:r>
    </w:p>
    <w:p w14:paraId="753381C7" w14:textId="77777777" w:rsidR="00271C02" w:rsidRPr="007F13E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По городам (с применением субнациональных административных единиц)</w:t>
      </w:r>
    </w:p>
    <w:p w14:paraId="5406A24F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7F13E2">
        <w:rPr>
          <w:rFonts w:ascii="Times New Roman" w:hAnsi="Times New Roman" w:cs="Times New Roman"/>
          <w:b/>
          <w:sz w:val="24"/>
        </w:rPr>
        <w:t>Обработка отсутствующих значений:</w:t>
      </w:r>
    </w:p>
    <w:p w14:paraId="1D8D83A6" w14:textId="77777777" w:rsidR="00271C02" w:rsidRDefault="00271C02" w:rsidP="00271C02">
      <w:pPr>
        <w:jc w:val="both"/>
        <w:rPr>
          <w:rFonts w:ascii="Times New Roman" w:hAnsi="Times New Roman" w:cs="Times New Roman"/>
          <w:i/>
          <w:sz w:val="24"/>
        </w:rPr>
      </w:pPr>
      <w:r w:rsidRPr="007F13E2">
        <w:rPr>
          <w:rFonts w:ascii="Times New Roman" w:hAnsi="Times New Roman" w:cs="Times New Roman"/>
          <w:i/>
          <w:sz w:val="24"/>
        </w:rPr>
        <w:t>На уровне страны</w:t>
      </w:r>
    </w:p>
    <w:p w14:paraId="59002DB4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7F13E2">
        <w:rPr>
          <w:rFonts w:ascii="Times New Roman" w:hAnsi="Times New Roman" w:cs="Times New Roman"/>
          <w:sz w:val="24"/>
        </w:rPr>
        <w:t>Сендайском</w:t>
      </w:r>
      <w:proofErr w:type="spellEnd"/>
      <w:r w:rsidRPr="007F13E2">
        <w:rPr>
          <w:rFonts w:ascii="Times New Roman" w:hAnsi="Times New Roman" w:cs="Times New Roman"/>
          <w:sz w:val="24"/>
        </w:rPr>
        <w:t xml:space="preserve"> монитор</w:t>
      </w:r>
      <w:r>
        <w:rPr>
          <w:rFonts w:ascii="Times New Roman" w:hAnsi="Times New Roman" w:cs="Times New Roman"/>
          <w:sz w:val="24"/>
        </w:rPr>
        <w:t>инге</w:t>
      </w:r>
      <w:r w:rsidRPr="007F13E2">
        <w:rPr>
          <w:rFonts w:ascii="Times New Roman" w:hAnsi="Times New Roman" w:cs="Times New Roman"/>
          <w:sz w:val="24"/>
        </w:rPr>
        <w:t xml:space="preserve">, который будет проводиться в качестве добровольной самооценки, такой </w:t>
      </w:r>
      <w:r>
        <w:rPr>
          <w:rFonts w:ascii="Times New Roman" w:hAnsi="Times New Roman" w:cs="Times New Roman"/>
          <w:sz w:val="24"/>
        </w:rPr>
        <w:t xml:space="preserve">же </w:t>
      </w:r>
      <w:r w:rsidRPr="007F13E2">
        <w:rPr>
          <w:rFonts w:ascii="Times New Roman" w:hAnsi="Times New Roman" w:cs="Times New Roman"/>
          <w:sz w:val="24"/>
        </w:rPr>
        <w:t>как монитор</w:t>
      </w:r>
      <w:r>
        <w:rPr>
          <w:rFonts w:ascii="Times New Roman" w:hAnsi="Times New Roman" w:cs="Times New Roman"/>
          <w:sz w:val="24"/>
        </w:rPr>
        <w:t>инг</w:t>
      </w:r>
      <w:r w:rsidRPr="007F13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ХРП</w:t>
      </w:r>
      <w:r w:rsidRPr="007F13E2">
        <w:rPr>
          <w:rFonts w:ascii="Times New Roman" w:hAnsi="Times New Roman" w:cs="Times New Roman"/>
          <w:sz w:val="24"/>
        </w:rPr>
        <w:t xml:space="preserve">, недостающие значения и 0 или </w:t>
      </w:r>
      <w:proofErr w:type="spellStart"/>
      <w:r w:rsidRPr="007F13E2">
        <w:rPr>
          <w:rFonts w:ascii="Times New Roman" w:hAnsi="Times New Roman" w:cs="Times New Roman"/>
          <w:sz w:val="24"/>
        </w:rPr>
        <w:t>null</w:t>
      </w:r>
      <w:proofErr w:type="spellEnd"/>
      <w:r w:rsidRPr="007F13E2">
        <w:rPr>
          <w:rFonts w:ascii="Times New Roman" w:hAnsi="Times New Roman" w:cs="Times New Roman"/>
          <w:sz w:val="24"/>
        </w:rPr>
        <w:t xml:space="preserve"> будут считаться эквивалентными.</w:t>
      </w:r>
    </w:p>
    <w:p w14:paraId="76E62748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</w:p>
    <w:p w14:paraId="767DEDA3" w14:textId="77777777" w:rsidR="00271C02" w:rsidRDefault="00271C02" w:rsidP="00271C02">
      <w:pPr>
        <w:jc w:val="both"/>
        <w:rPr>
          <w:rFonts w:ascii="Times New Roman" w:hAnsi="Times New Roman" w:cs="Times New Roman"/>
          <w:i/>
          <w:sz w:val="24"/>
        </w:rPr>
      </w:pPr>
      <w:r w:rsidRPr="007F13E2">
        <w:rPr>
          <w:rFonts w:ascii="Times New Roman" w:hAnsi="Times New Roman" w:cs="Times New Roman"/>
          <w:i/>
          <w:sz w:val="24"/>
        </w:rPr>
        <w:lastRenderedPageBreak/>
        <w:t>На региональном и глобальном уровнях</w:t>
      </w:r>
    </w:p>
    <w:p w14:paraId="5812896A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применимо</w:t>
      </w:r>
    </w:p>
    <w:p w14:paraId="5A2E8372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7F13E2">
        <w:rPr>
          <w:rFonts w:ascii="Times New Roman" w:hAnsi="Times New Roman" w:cs="Times New Roman"/>
          <w:b/>
          <w:sz w:val="24"/>
        </w:rPr>
        <w:t>Региональные показатели:</w:t>
      </w:r>
    </w:p>
    <w:p w14:paraId="45758162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См. в разделе метод расчета.</w:t>
      </w:r>
    </w:p>
    <w:p w14:paraId="47F165B1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Он будет рассчитываться, по усмотрению OEIWG, либо как линейное среднее показателя, описанного в 3.3, либо как средневзвешенное значение индекса, умноженное на население страны, разделенное на глобальное население.</w:t>
      </w:r>
    </w:p>
    <w:p w14:paraId="12D71005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7F13E2">
        <w:rPr>
          <w:rFonts w:ascii="Times New Roman" w:hAnsi="Times New Roman" w:cs="Times New Roman"/>
          <w:b/>
          <w:sz w:val="24"/>
        </w:rPr>
        <w:t>Источники расхождений</w:t>
      </w:r>
    </w:p>
    <w:p w14:paraId="5F8E45B0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Глобальная база данных не собирает информацию о политике в обл</w:t>
      </w:r>
      <w:r>
        <w:rPr>
          <w:rFonts w:ascii="Times New Roman" w:hAnsi="Times New Roman" w:cs="Times New Roman"/>
          <w:sz w:val="24"/>
        </w:rPr>
        <w:t>асти СРБ, кроме м</w:t>
      </w:r>
      <w:r w:rsidRPr="007F13E2">
        <w:rPr>
          <w:rFonts w:ascii="Times New Roman" w:hAnsi="Times New Roman" w:cs="Times New Roman"/>
          <w:sz w:val="24"/>
        </w:rPr>
        <w:t>онитор</w:t>
      </w:r>
      <w:r>
        <w:rPr>
          <w:rFonts w:ascii="Times New Roman" w:hAnsi="Times New Roman" w:cs="Times New Roman"/>
          <w:sz w:val="24"/>
        </w:rPr>
        <w:t>инга</w:t>
      </w:r>
      <w:r w:rsidRPr="007F13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ХРП</w:t>
      </w:r>
      <w:r w:rsidRPr="007F13E2">
        <w:rPr>
          <w:rFonts w:ascii="Times New Roman" w:hAnsi="Times New Roman" w:cs="Times New Roman"/>
          <w:sz w:val="24"/>
        </w:rPr>
        <w:t xml:space="preserve"> и последующего </w:t>
      </w:r>
      <w:proofErr w:type="spellStart"/>
      <w:r w:rsidRPr="007F13E2">
        <w:rPr>
          <w:rFonts w:ascii="Times New Roman" w:hAnsi="Times New Roman" w:cs="Times New Roman"/>
          <w:sz w:val="24"/>
        </w:rPr>
        <w:t>Сендай</w:t>
      </w:r>
      <w:r>
        <w:rPr>
          <w:rFonts w:ascii="Times New Roman" w:hAnsi="Times New Roman" w:cs="Times New Roman"/>
          <w:sz w:val="24"/>
        </w:rPr>
        <w:t>ского</w:t>
      </w:r>
      <w:proofErr w:type="spellEnd"/>
      <w:r>
        <w:rPr>
          <w:rFonts w:ascii="Times New Roman" w:hAnsi="Times New Roman" w:cs="Times New Roman"/>
          <w:sz w:val="24"/>
        </w:rPr>
        <w:t xml:space="preserve"> м</w:t>
      </w:r>
      <w:r w:rsidRPr="007F13E2">
        <w:rPr>
          <w:rFonts w:ascii="Times New Roman" w:hAnsi="Times New Roman" w:cs="Times New Roman"/>
          <w:sz w:val="24"/>
        </w:rPr>
        <w:t>онитор</w:t>
      </w:r>
      <w:r>
        <w:rPr>
          <w:rFonts w:ascii="Times New Roman" w:hAnsi="Times New Roman" w:cs="Times New Roman"/>
          <w:sz w:val="24"/>
        </w:rPr>
        <w:t>инга</w:t>
      </w:r>
      <w:r w:rsidRPr="007F13E2">
        <w:rPr>
          <w:rFonts w:ascii="Times New Roman" w:hAnsi="Times New Roman" w:cs="Times New Roman"/>
          <w:sz w:val="24"/>
        </w:rPr>
        <w:t xml:space="preserve"> </w:t>
      </w:r>
    </w:p>
    <w:p w14:paraId="701461C7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7F13E2">
        <w:rPr>
          <w:rFonts w:ascii="Times New Roman" w:hAnsi="Times New Roman" w:cs="Times New Roman"/>
          <w:b/>
          <w:sz w:val="24"/>
        </w:rPr>
        <w:t>Источники данных</w:t>
      </w:r>
    </w:p>
    <w:p w14:paraId="58F7FE43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>Описание:</w:t>
      </w:r>
    </w:p>
    <w:p w14:paraId="3CE22AA1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7F13E2">
        <w:rPr>
          <w:rFonts w:ascii="Times New Roman" w:hAnsi="Times New Roman" w:cs="Times New Roman"/>
          <w:sz w:val="24"/>
        </w:rPr>
        <w:t xml:space="preserve">Национальный Отчет о ходе работы </w:t>
      </w:r>
      <w:proofErr w:type="spellStart"/>
      <w:r w:rsidRPr="007F13E2">
        <w:rPr>
          <w:rFonts w:ascii="Times New Roman" w:hAnsi="Times New Roman" w:cs="Times New Roman"/>
          <w:sz w:val="24"/>
        </w:rPr>
        <w:t>Сендайского</w:t>
      </w:r>
      <w:proofErr w:type="spellEnd"/>
      <w:r w:rsidRPr="007F13E2">
        <w:rPr>
          <w:rFonts w:ascii="Times New Roman" w:hAnsi="Times New Roman" w:cs="Times New Roman"/>
          <w:sz w:val="24"/>
        </w:rPr>
        <w:t xml:space="preserve"> монитор</w:t>
      </w:r>
      <w:r>
        <w:rPr>
          <w:rFonts w:ascii="Times New Roman" w:hAnsi="Times New Roman" w:cs="Times New Roman"/>
          <w:sz w:val="24"/>
        </w:rPr>
        <w:t>инга</w:t>
      </w:r>
      <w:r w:rsidRPr="007F13E2">
        <w:rPr>
          <w:rFonts w:ascii="Times New Roman" w:hAnsi="Times New Roman" w:cs="Times New Roman"/>
          <w:sz w:val="24"/>
        </w:rPr>
        <w:t>, представленный МСУОБ ООН</w:t>
      </w:r>
    </w:p>
    <w:p w14:paraId="4B8A379B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5E1C55">
        <w:rPr>
          <w:rFonts w:ascii="Times New Roman" w:hAnsi="Times New Roman" w:cs="Times New Roman"/>
          <w:sz w:val="24"/>
        </w:rPr>
        <w:t>Процесс сбора:</w:t>
      </w:r>
    </w:p>
    <w:p w14:paraId="10841C57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5E1C55">
        <w:rPr>
          <w:rFonts w:ascii="Times New Roman" w:hAnsi="Times New Roman" w:cs="Times New Roman"/>
          <w:sz w:val="24"/>
        </w:rPr>
        <w:t>Официальны</w:t>
      </w:r>
      <w:r>
        <w:rPr>
          <w:rFonts w:ascii="Times New Roman" w:hAnsi="Times New Roman" w:cs="Times New Roman"/>
          <w:sz w:val="24"/>
        </w:rPr>
        <w:t>й (-</w:t>
      </w:r>
      <w:proofErr w:type="spellStart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5E1C55">
        <w:rPr>
          <w:rFonts w:ascii="Times New Roman" w:hAnsi="Times New Roman" w:cs="Times New Roman"/>
          <w:sz w:val="24"/>
        </w:rPr>
        <w:t xml:space="preserve"> партнер (</w:t>
      </w:r>
      <w:r>
        <w:rPr>
          <w:rFonts w:ascii="Times New Roman" w:hAnsi="Times New Roman" w:cs="Times New Roman"/>
          <w:sz w:val="24"/>
        </w:rPr>
        <w:t>-</w:t>
      </w:r>
      <w:r w:rsidRPr="005E1C55">
        <w:rPr>
          <w:rFonts w:ascii="Times New Roman" w:hAnsi="Times New Roman" w:cs="Times New Roman"/>
          <w:sz w:val="24"/>
        </w:rPr>
        <w:t xml:space="preserve">ы) на </w:t>
      </w:r>
      <w:proofErr w:type="spellStart"/>
      <w:r w:rsidRPr="005E1C55">
        <w:rPr>
          <w:rFonts w:ascii="Times New Roman" w:hAnsi="Times New Roman" w:cs="Times New Roman"/>
          <w:sz w:val="24"/>
        </w:rPr>
        <w:t>страновом</w:t>
      </w:r>
      <w:proofErr w:type="spellEnd"/>
      <w:r w:rsidRPr="005E1C55">
        <w:rPr>
          <w:rFonts w:ascii="Times New Roman" w:hAnsi="Times New Roman" w:cs="Times New Roman"/>
          <w:sz w:val="24"/>
        </w:rPr>
        <w:t xml:space="preserve"> уровне предоставят Национальный отчет о прогрессе </w:t>
      </w:r>
      <w:proofErr w:type="spellStart"/>
      <w:r w:rsidRPr="005E1C55">
        <w:rPr>
          <w:rFonts w:ascii="Times New Roman" w:hAnsi="Times New Roman" w:cs="Times New Roman"/>
          <w:sz w:val="24"/>
        </w:rPr>
        <w:t>Сендай</w:t>
      </w:r>
      <w:r>
        <w:rPr>
          <w:rFonts w:ascii="Times New Roman" w:hAnsi="Times New Roman" w:cs="Times New Roman"/>
          <w:sz w:val="24"/>
        </w:rPr>
        <w:t>ского</w:t>
      </w:r>
      <w:proofErr w:type="spellEnd"/>
      <w:r w:rsidRPr="005E1C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Pr="005E1C55">
        <w:rPr>
          <w:rFonts w:ascii="Times New Roman" w:hAnsi="Times New Roman" w:cs="Times New Roman"/>
          <w:sz w:val="24"/>
        </w:rPr>
        <w:t>онитор</w:t>
      </w:r>
      <w:r>
        <w:rPr>
          <w:rFonts w:ascii="Times New Roman" w:hAnsi="Times New Roman" w:cs="Times New Roman"/>
          <w:sz w:val="24"/>
        </w:rPr>
        <w:t>инга</w:t>
      </w:r>
      <w:r w:rsidRPr="005E1C55">
        <w:rPr>
          <w:rFonts w:ascii="Times New Roman" w:hAnsi="Times New Roman" w:cs="Times New Roman"/>
          <w:sz w:val="24"/>
        </w:rPr>
        <w:t>.</w:t>
      </w:r>
    </w:p>
    <w:p w14:paraId="373FDFB7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Доступность данных</w:t>
      </w:r>
    </w:p>
    <w:p w14:paraId="28764C78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Описание:</w:t>
      </w:r>
    </w:p>
    <w:p w14:paraId="5D605B07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Около 100 стран</w:t>
      </w:r>
    </w:p>
    <w:p w14:paraId="549107AA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 xml:space="preserve">Мониторинг </w:t>
      </w:r>
      <w:r>
        <w:rPr>
          <w:rFonts w:ascii="Times New Roman" w:hAnsi="Times New Roman" w:cs="Times New Roman"/>
          <w:sz w:val="24"/>
        </w:rPr>
        <w:t>ХРП</w:t>
      </w:r>
      <w:r w:rsidRPr="00AD7E3B">
        <w:rPr>
          <w:rFonts w:ascii="Times New Roman" w:hAnsi="Times New Roman" w:cs="Times New Roman"/>
          <w:sz w:val="24"/>
        </w:rPr>
        <w:t xml:space="preserve"> начался в 2007 году, и со временем число стран, отчитывающихся перед МСУОБ ООН, увеличилось с 60 в 2007 году до 140+ стран, которые в настоящее время проводят добровольную самооценку прогресса в реализации </w:t>
      </w:r>
      <w:r>
        <w:rPr>
          <w:rFonts w:ascii="Times New Roman" w:hAnsi="Times New Roman" w:cs="Times New Roman"/>
          <w:sz w:val="24"/>
        </w:rPr>
        <w:t>ХРП</w:t>
      </w:r>
      <w:r w:rsidRPr="00AD7E3B">
        <w:rPr>
          <w:rFonts w:ascii="Times New Roman" w:hAnsi="Times New Roman" w:cs="Times New Roman"/>
          <w:sz w:val="24"/>
        </w:rPr>
        <w:t>. С учетом требований к стратегиям уменьшения опасности бедствий, закрепленных в отчетности по Ц</w:t>
      </w:r>
      <w:r>
        <w:rPr>
          <w:rFonts w:ascii="Times New Roman" w:hAnsi="Times New Roman" w:cs="Times New Roman"/>
          <w:sz w:val="24"/>
        </w:rPr>
        <w:t>УР</w:t>
      </w:r>
      <w:r w:rsidRPr="00AD7E3B">
        <w:rPr>
          <w:rFonts w:ascii="Times New Roman" w:hAnsi="Times New Roman" w:cs="Times New Roman"/>
          <w:sz w:val="24"/>
        </w:rPr>
        <w:t xml:space="preserve"> и целям </w:t>
      </w:r>
      <w:proofErr w:type="spellStart"/>
      <w:r w:rsidRPr="00AD7E3B">
        <w:rPr>
          <w:rFonts w:ascii="Times New Roman" w:hAnsi="Times New Roman" w:cs="Times New Roman"/>
          <w:sz w:val="24"/>
        </w:rPr>
        <w:t>Сендайской</w:t>
      </w:r>
      <w:proofErr w:type="spellEnd"/>
      <w:r w:rsidRPr="00AD7E3B">
        <w:rPr>
          <w:rFonts w:ascii="Times New Roman" w:hAnsi="Times New Roman" w:cs="Times New Roman"/>
          <w:sz w:val="24"/>
        </w:rPr>
        <w:t xml:space="preserve"> Рамочной программы, ожидается, что к 2020 году все государства-члены представят свои стратегии СРБ в соответствии с рекомендациями и руководящими принципами</w:t>
      </w:r>
      <w:r>
        <w:rPr>
          <w:rFonts w:ascii="Times New Roman" w:hAnsi="Times New Roman" w:cs="Times New Roman"/>
          <w:sz w:val="24"/>
        </w:rPr>
        <w:t xml:space="preserve"> </w:t>
      </w:r>
      <w:r w:rsidRPr="00AD7E3B">
        <w:rPr>
          <w:rFonts w:ascii="Times New Roman" w:hAnsi="Times New Roman" w:cs="Times New Roman"/>
          <w:sz w:val="24"/>
        </w:rPr>
        <w:t>OEIWG.</w:t>
      </w:r>
    </w:p>
    <w:p w14:paraId="5ADFE2B7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Временные ряды:</w:t>
      </w:r>
    </w:p>
    <w:p w14:paraId="5A097E24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2013 и 2015: монитор</w:t>
      </w:r>
      <w:r>
        <w:rPr>
          <w:rFonts w:ascii="Times New Roman" w:hAnsi="Times New Roman" w:cs="Times New Roman"/>
          <w:sz w:val="24"/>
        </w:rPr>
        <w:t>инг</w:t>
      </w:r>
      <w:r w:rsidRPr="00AD7E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ХРП</w:t>
      </w:r>
    </w:p>
    <w:p w14:paraId="393907FD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Календарь</w:t>
      </w:r>
    </w:p>
    <w:p w14:paraId="5BF457BD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Сбор данных:</w:t>
      </w:r>
    </w:p>
    <w:p w14:paraId="47D6DDE7" w14:textId="77777777" w:rsidR="00271C02" w:rsidRDefault="00271C02" w:rsidP="00271C02">
      <w:pPr>
        <w:jc w:val="both"/>
        <w:rPr>
          <w:sz w:val="21"/>
          <w:szCs w:val="21"/>
        </w:rPr>
      </w:pPr>
      <w:r>
        <w:rPr>
          <w:sz w:val="21"/>
          <w:szCs w:val="21"/>
        </w:rPr>
        <w:t>2017-2018</w:t>
      </w:r>
    </w:p>
    <w:p w14:paraId="190BC482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lastRenderedPageBreak/>
        <w:t>Выпуск данных:</w:t>
      </w:r>
    </w:p>
    <w:p w14:paraId="737E5DAE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Начальные наборы данных в 2017 году, первый довольно полный набор данных к 2019 году</w:t>
      </w:r>
    </w:p>
    <w:p w14:paraId="51DCCDBA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Поставщики данных</w:t>
      </w:r>
    </w:p>
    <w:p w14:paraId="1ECD399B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 xml:space="preserve">Название: </w:t>
      </w:r>
    </w:p>
    <w:p w14:paraId="4227AB67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координирующее ведущее учреждение, возглавляющее национальную платформу СРБ, в состав которой входят специализированные учреждения, включая национальные агентства по борьбе со стихийными бедствиями, агентства гражданской защиты и метеорологические агентства.</w:t>
      </w:r>
    </w:p>
    <w:p w14:paraId="06E75BD3" w14:textId="77777777" w:rsidR="00271C02" w:rsidRPr="00AD7E3B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Описание:</w:t>
      </w:r>
    </w:p>
    <w:p w14:paraId="74BA531D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Координирующее ведущее учреждение, возглавляющее национальную платформу СРБ, в состав которой входят специализированные учреждения, включая национальные агентства по борьбе со стихийными бедствиями, агентства гражданской защиты и метеорологические агентства.</w:t>
      </w:r>
    </w:p>
    <w:p w14:paraId="2B1378D8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Составители данных</w:t>
      </w:r>
    </w:p>
    <w:p w14:paraId="250FD34F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МСУОСБ ООН</w:t>
      </w:r>
    </w:p>
    <w:p w14:paraId="6B2A3332" w14:textId="77777777" w:rsidR="00271C02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Ссылки</w:t>
      </w:r>
    </w:p>
    <w:p w14:paraId="4CFAF987" w14:textId="77777777" w:rsidR="00271C02" w:rsidRPr="00271C02" w:rsidRDefault="00271C02" w:rsidP="00271C02">
      <w:pPr>
        <w:jc w:val="both"/>
        <w:rPr>
          <w:sz w:val="21"/>
          <w:szCs w:val="21"/>
        </w:rPr>
      </w:pPr>
      <w:r w:rsidRPr="00AD7E3B">
        <w:rPr>
          <w:b/>
          <w:bCs/>
          <w:sz w:val="21"/>
          <w:szCs w:val="21"/>
          <w:lang w:val="en-US"/>
        </w:rPr>
        <w:t>URL</w:t>
      </w:r>
      <w:r w:rsidRPr="00271C02">
        <w:rPr>
          <w:b/>
          <w:bCs/>
          <w:sz w:val="21"/>
          <w:szCs w:val="21"/>
        </w:rPr>
        <w:t xml:space="preserve">: </w:t>
      </w:r>
      <w:hyperlink r:id="rId5" w:history="1">
        <w:r w:rsidRPr="00DA698D">
          <w:rPr>
            <w:rStyle w:val="Hyperlink"/>
            <w:sz w:val="21"/>
            <w:szCs w:val="21"/>
            <w:lang w:val="en-US"/>
          </w:rPr>
          <w:t>http</w:t>
        </w:r>
        <w:r w:rsidRPr="00271C02">
          <w:rPr>
            <w:rStyle w:val="Hyperlink"/>
            <w:sz w:val="21"/>
            <w:szCs w:val="21"/>
          </w:rPr>
          <w:t>://</w:t>
        </w:r>
        <w:r w:rsidRPr="00DA698D">
          <w:rPr>
            <w:rStyle w:val="Hyperlink"/>
            <w:sz w:val="21"/>
            <w:szCs w:val="21"/>
            <w:lang w:val="en-US"/>
          </w:rPr>
          <w:t>www</w:t>
        </w:r>
        <w:r w:rsidRPr="00271C02">
          <w:rPr>
            <w:rStyle w:val="Hyperlink"/>
            <w:sz w:val="21"/>
            <w:szCs w:val="21"/>
          </w:rPr>
          <w:t>.</w:t>
        </w:r>
        <w:proofErr w:type="spellStart"/>
        <w:r w:rsidRPr="00DA698D">
          <w:rPr>
            <w:rStyle w:val="Hyperlink"/>
            <w:sz w:val="21"/>
            <w:szCs w:val="21"/>
            <w:lang w:val="en-US"/>
          </w:rPr>
          <w:t>preventionweb</w:t>
        </w:r>
        <w:proofErr w:type="spellEnd"/>
        <w:r w:rsidRPr="00271C02">
          <w:rPr>
            <w:rStyle w:val="Hyperlink"/>
            <w:sz w:val="21"/>
            <w:szCs w:val="21"/>
          </w:rPr>
          <w:t>.</w:t>
        </w:r>
        <w:r w:rsidRPr="00DA698D">
          <w:rPr>
            <w:rStyle w:val="Hyperlink"/>
            <w:sz w:val="21"/>
            <w:szCs w:val="21"/>
            <w:lang w:val="en-US"/>
          </w:rPr>
          <w:t>net</w:t>
        </w:r>
        <w:r w:rsidRPr="00271C02">
          <w:rPr>
            <w:rStyle w:val="Hyperlink"/>
            <w:sz w:val="21"/>
            <w:szCs w:val="21"/>
          </w:rPr>
          <w:t>/</w:t>
        </w:r>
        <w:r w:rsidRPr="00DA698D">
          <w:rPr>
            <w:rStyle w:val="Hyperlink"/>
            <w:sz w:val="21"/>
            <w:szCs w:val="21"/>
            <w:lang w:val="en-US"/>
          </w:rPr>
          <w:t>documents</w:t>
        </w:r>
        <w:r w:rsidRPr="00271C02">
          <w:rPr>
            <w:rStyle w:val="Hyperlink"/>
            <w:sz w:val="21"/>
            <w:szCs w:val="21"/>
          </w:rPr>
          <w:t>/</w:t>
        </w:r>
        <w:proofErr w:type="spellStart"/>
        <w:r w:rsidRPr="00DA698D">
          <w:rPr>
            <w:rStyle w:val="Hyperlink"/>
            <w:sz w:val="21"/>
            <w:szCs w:val="21"/>
            <w:lang w:val="en-US"/>
          </w:rPr>
          <w:t>oiewg</w:t>
        </w:r>
        <w:proofErr w:type="spellEnd"/>
        <w:r w:rsidRPr="00271C02">
          <w:rPr>
            <w:rStyle w:val="Hyperlink"/>
            <w:sz w:val="21"/>
            <w:szCs w:val="21"/>
          </w:rPr>
          <w:t>/</w:t>
        </w:r>
        <w:r w:rsidRPr="00DA698D">
          <w:rPr>
            <w:rStyle w:val="Hyperlink"/>
            <w:sz w:val="21"/>
            <w:szCs w:val="21"/>
            <w:lang w:val="en-US"/>
          </w:rPr>
          <w:t>Technical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Collection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of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Concept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Notes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on</w:t>
        </w:r>
        <w:r w:rsidRPr="00271C02">
          <w:rPr>
            <w:rStyle w:val="Hyperlink"/>
            <w:sz w:val="21"/>
            <w:szCs w:val="21"/>
          </w:rPr>
          <w:t>%20</w:t>
        </w:r>
        <w:r w:rsidRPr="00DA698D">
          <w:rPr>
            <w:rStyle w:val="Hyperlink"/>
            <w:sz w:val="21"/>
            <w:szCs w:val="21"/>
            <w:lang w:val="en-US"/>
          </w:rPr>
          <w:t>Indicators</w:t>
        </w:r>
        <w:r w:rsidRPr="00271C02">
          <w:rPr>
            <w:rStyle w:val="Hyperlink"/>
            <w:sz w:val="21"/>
            <w:szCs w:val="21"/>
          </w:rPr>
          <w:t>.</w:t>
        </w:r>
        <w:r w:rsidRPr="00DA698D">
          <w:rPr>
            <w:rStyle w:val="Hyperlink"/>
            <w:sz w:val="21"/>
            <w:szCs w:val="21"/>
            <w:lang w:val="en-US"/>
          </w:rPr>
          <w:t>pdf</w:t>
        </w:r>
      </w:hyperlink>
      <w:r w:rsidRPr="00271C02">
        <w:rPr>
          <w:sz w:val="21"/>
          <w:szCs w:val="21"/>
        </w:rPr>
        <w:t xml:space="preserve"> </w:t>
      </w:r>
    </w:p>
    <w:p w14:paraId="53438D54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 xml:space="preserve">На Межправительственную рабочую группу экспертов Открытого состава по показателям и терминологии, касающимся уменьшения опасности бедствий (OEIWG), была возложена ответственность за разработку комплекса показателей для оценки глобального прогресса в осуществлении </w:t>
      </w:r>
      <w:proofErr w:type="spellStart"/>
      <w:r w:rsidRPr="00AD7E3B">
        <w:rPr>
          <w:rFonts w:ascii="Times New Roman" w:hAnsi="Times New Roman" w:cs="Times New Roman"/>
          <w:sz w:val="24"/>
        </w:rPr>
        <w:t>Сендайской</w:t>
      </w:r>
      <w:proofErr w:type="spellEnd"/>
      <w:r w:rsidRPr="00AD7E3B">
        <w:rPr>
          <w:rFonts w:ascii="Times New Roman" w:hAnsi="Times New Roman" w:cs="Times New Roman"/>
          <w:sz w:val="24"/>
        </w:rPr>
        <w:t xml:space="preserve"> Рамочной программы с учетом семи глобальных целей. Работа OEIWG будет завершена к декабрю 2016 года, и ее доклад будет представлен на рассмо</w:t>
      </w:r>
      <w:r>
        <w:rPr>
          <w:rFonts w:ascii="Times New Roman" w:hAnsi="Times New Roman" w:cs="Times New Roman"/>
          <w:sz w:val="24"/>
        </w:rPr>
        <w:t>трение Генеральной Ассамблеи. М</w:t>
      </w:r>
      <w:r w:rsidRPr="00AD7E3B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Г</w:t>
      </w:r>
      <w:r w:rsidRPr="00AD7E3B">
        <w:rPr>
          <w:rFonts w:ascii="Times New Roman" w:hAnsi="Times New Roman" w:cs="Times New Roman"/>
          <w:sz w:val="24"/>
        </w:rPr>
        <w:t>-Ц</w:t>
      </w:r>
      <w:r>
        <w:rPr>
          <w:rFonts w:ascii="Times New Roman" w:hAnsi="Times New Roman" w:cs="Times New Roman"/>
          <w:sz w:val="24"/>
        </w:rPr>
        <w:t>УР</w:t>
      </w:r>
      <w:r w:rsidRPr="00AD7E3B">
        <w:rPr>
          <w:rFonts w:ascii="Times New Roman" w:hAnsi="Times New Roman" w:cs="Times New Roman"/>
          <w:sz w:val="24"/>
        </w:rPr>
        <w:t xml:space="preserve"> и Статистическая комиссия ООН официально признают роль OEIWG и передают ответственность за дальнейшую доработку и разработку методологии для показателей Ц</w:t>
      </w:r>
      <w:r>
        <w:rPr>
          <w:rFonts w:ascii="Times New Roman" w:hAnsi="Times New Roman" w:cs="Times New Roman"/>
          <w:sz w:val="24"/>
        </w:rPr>
        <w:t>УР</w:t>
      </w:r>
      <w:r w:rsidRPr="00AD7E3B">
        <w:rPr>
          <w:rFonts w:ascii="Times New Roman" w:hAnsi="Times New Roman" w:cs="Times New Roman"/>
          <w:sz w:val="24"/>
        </w:rPr>
        <w:t>, связанных со стихийными бедствиями, этой рабочей группе.</w:t>
      </w:r>
    </w:p>
    <w:p w14:paraId="6191AED3" w14:textId="77777777" w:rsidR="00271C02" w:rsidRDefault="00271C02" w:rsidP="00271C02">
      <w:pPr>
        <w:jc w:val="both"/>
        <w:rPr>
          <w:sz w:val="21"/>
          <w:szCs w:val="21"/>
        </w:rPr>
      </w:pPr>
      <w:hyperlink r:id="rId6" w:history="1">
        <w:r w:rsidRPr="00DA698D">
          <w:rPr>
            <w:rStyle w:val="Hyperlink"/>
            <w:sz w:val="21"/>
            <w:szCs w:val="21"/>
          </w:rPr>
          <w:t>http://www.preventionweb.net/drr-framework/open-ended-working-group/</w:t>
        </w:r>
      </w:hyperlink>
      <w:r>
        <w:rPr>
          <w:sz w:val="21"/>
          <w:szCs w:val="21"/>
        </w:rPr>
        <w:t xml:space="preserve"> </w:t>
      </w:r>
    </w:p>
    <w:p w14:paraId="2CECB04B" w14:textId="77777777" w:rsid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 w:rsidRPr="00AD7E3B">
        <w:rPr>
          <w:rFonts w:ascii="Times New Roman" w:hAnsi="Times New Roman" w:cs="Times New Roman"/>
          <w:sz w:val="24"/>
        </w:rPr>
        <w:t>Последняя версия документов находится по адресу:</w:t>
      </w:r>
    </w:p>
    <w:p w14:paraId="0F33E658" w14:textId="77777777" w:rsidR="00271C02" w:rsidRDefault="00271C02" w:rsidP="00271C02">
      <w:pPr>
        <w:jc w:val="both"/>
        <w:rPr>
          <w:sz w:val="21"/>
          <w:szCs w:val="21"/>
        </w:rPr>
      </w:pPr>
      <w:hyperlink r:id="rId7" w:history="1">
        <w:r w:rsidRPr="00DA698D">
          <w:rPr>
            <w:rStyle w:val="Hyperlink"/>
            <w:sz w:val="21"/>
            <w:szCs w:val="21"/>
          </w:rPr>
          <w:t>http://www.preventionweb.net/drr-framework/open-ended-working-group/sessional-intersessional-documents</w:t>
        </w:r>
      </w:hyperlink>
    </w:p>
    <w:p w14:paraId="5518812E" w14:textId="77777777" w:rsidR="00271C02" w:rsidRPr="00AD7E3B" w:rsidRDefault="00271C02" w:rsidP="00271C02">
      <w:pPr>
        <w:jc w:val="both"/>
        <w:rPr>
          <w:rFonts w:ascii="Times New Roman" w:hAnsi="Times New Roman" w:cs="Times New Roman"/>
          <w:b/>
          <w:sz w:val="24"/>
        </w:rPr>
      </w:pPr>
      <w:r w:rsidRPr="00AD7E3B">
        <w:rPr>
          <w:rFonts w:ascii="Times New Roman" w:hAnsi="Times New Roman" w:cs="Times New Roman"/>
          <w:b/>
          <w:sz w:val="24"/>
        </w:rPr>
        <w:t>Связанные индикаторы</w:t>
      </w:r>
    </w:p>
    <w:p w14:paraId="4D073603" w14:textId="0597A66D" w:rsidR="00AD7E3B" w:rsidRPr="00271C02" w:rsidRDefault="00271C02" w:rsidP="00271C02">
      <w:pPr>
        <w:jc w:val="both"/>
        <w:rPr>
          <w:rFonts w:ascii="Times New Roman" w:hAnsi="Times New Roman" w:cs="Times New Roman"/>
          <w:sz w:val="24"/>
        </w:rPr>
      </w:pPr>
      <w:r>
        <w:rPr>
          <w:sz w:val="21"/>
          <w:szCs w:val="21"/>
        </w:rPr>
        <w:t>1.5; 11.5; 11.b; 13.1; 2.4; 3.6; 3.9; 3.d; 4.a; 6.6; 9.1; 9.a; 11.1; 11.3; 11.c; 13.2; 13.3; 13.a; 13.b; 14.2; 15.1; 15.2; 15.3; 15.9.</w:t>
      </w:r>
      <w:bookmarkStart w:id="0" w:name="_GoBack"/>
      <w:bookmarkEnd w:id="0"/>
    </w:p>
    <w:sectPr w:rsidR="00AD7E3B" w:rsidRPr="0027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3D9"/>
    <w:rsid w:val="00271C02"/>
    <w:rsid w:val="005E1C55"/>
    <w:rsid w:val="006C4574"/>
    <w:rsid w:val="007F13E2"/>
    <w:rsid w:val="009E44BB"/>
    <w:rsid w:val="00AD7E3B"/>
    <w:rsid w:val="00E053D9"/>
    <w:rsid w:val="00E77643"/>
    <w:rsid w:val="00F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346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ventionweb.net/drr-framework/open-ended-working-group/sessional-intersessional-docu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ventionweb.net/drr-framework/open-ended-working-group/" TargetMode="External"/><Relationship Id="rId5" Type="http://schemas.openxmlformats.org/officeDocument/2006/relationships/hyperlink" Target="http://www.preventionweb.net/documents/oiewg/Technical%20Collection%20of%20Concept%20Notes%20on%20Indicators.pdf" TargetMode="External"/><Relationship Id="rId4" Type="http://schemas.openxmlformats.org/officeDocument/2006/relationships/hyperlink" Target="http://www.preventionweb.net/documents/oiewg/Technical%20Collection%20of%20Concept%20Notes%20on%20Indicator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Ксения Сергеевна</dc:creator>
  <cp:keywords/>
  <dc:description/>
  <cp:lastModifiedBy>Microsoft Office User</cp:lastModifiedBy>
  <cp:revision>3</cp:revision>
  <dcterms:created xsi:type="dcterms:W3CDTF">2018-06-18T07:26:00Z</dcterms:created>
  <dcterms:modified xsi:type="dcterms:W3CDTF">2021-08-19T16:47:00Z</dcterms:modified>
</cp:coreProperties>
</file>