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33017"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Цель 11. Обеспечение открытости, безопасности, жизнестойкости и экологической устойчивости городов и населенных пунктов.</w:t>
      </w:r>
    </w:p>
    <w:p w14:paraId="0898A0B3"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11.5</w:t>
      </w:r>
      <w:r w:rsidRPr="009D7894">
        <w:rPr>
          <w:rFonts w:ascii="Times New Roman" w:hAnsi="Times New Roman" w:cs="Times New Roman"/>
          <w:b/>
          <w:sz w:val="24"/>
          <w:szCs w:val="24"/>
        </w:rPr>
        <w:tab/>
        <w:t>К 2030 году существенно сократить число погибших и пострадавших и значительно уменьшить прямой экономический ущерб в виде потерь мирового валового внутреннего продукта в результате бедствий, в том числе связанных с водой, уделяя особое внимание защите малоимущих и уязвимых групп населения.</w:t>
      </w:r>
    </w:p>
    <w:p w14:paraId="6259AB4C" w14:textId="77777777" w:rsidR="00364F2E" w:rsidRPr="009D7894" w:rsidRDefault="00364F2E" w:rsidP="00364F2E">
      <w:pPr>
        <w:jc w:val="both"/>
        <w:rPr>
          <w:rFonts w:ascii="Times New Roman" w:hAnsi="Times New Roman" w:cs="Times New Roman"/>
          <w:b/>
          <w:sz w:val="24"/>
          <w:szCs w:val="24"/>
        </w:rPr>
      </w:pPr>
      <w:r w:rsidRPr="009D7894">
        <w:rPr>
          <w:rFonts w:ascii="Times New Roman" w:eastAsia="Times New Roman" w:hAnsi="Times New Roman" w:cs="Times New Roman"/>
          <w:b/>
          <w:sz w:val="24"/>
          <w:szCs w:val="24"/>
        </w:rPr>
        <w:t>11.5.2 Прямые экономические потери в процентном отношении к общемировому ВВП, ущерб важнейшим объектам инфраструктуры и число обусловленных бедствиями сбоев в работе основных служб</w:t>
      </w:r>
      <w:r w:rsidRPr="009D7894">
        <w:rPr>
          <w:rFonts w:ascii="Times New Roman" w:hAnsi="Times New Roman" w:cs="Times New Roman"/>
          <w:b/>
          <w:sz w:val="24"/>
          <w:szCs w:val="24"/>
        </w:rPr>
        <w:t xml:space="preserve"> </w:t>
      </w:r>
    </w:p>
    <w:p w14:paraId="250D6C43"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Институциональная информация</w:t>
      </w:r>
    </w:p>
    <w:p w14:paraId="0EFEFE2A"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Организация(и):</w:t>
      </w:r>
    </w:p>
    <w:p w14:paraId="67695118"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Управление Организации Объединенных Наций по уменьшению опасности бедствий (МСУОБ ООН)</w:t>
      </w:r>
    </w:p>
    <w:p w14:paraId="4E58FCA1"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Концепции и определения</w:t>
      </w:r>
    </w:p>
    <w:p w14:paraId="46E09071"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Определение: </w:t>
      </w:r>
    </w:p>
    <w:p w14:paraId="301224BB"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Прямые экономические потери: денежная стоимость полного или частичного устранения причиненных физических нарушений в пострадавшем районе. Прямые экономические потери почти эквивалентны физическому ущербу.</w:t>
      </w:r>
    </w:p>
    <w:p w14:paraId="4317E011"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[A] Межправительственная рабочая группа экспертов открытого состава по показателям и терминологии, связанным с уменьшением опасности от бедствий, созданная Генеральной Ассамблеей (резолюция 69/284), разрабатывает набор показателей для оценки глобального прогресса в осуществлении </w:t>
      </w:r>
      <w:proofErr w:type="spellStart"/>
      <w:r w:rsidRPr="009D7894">
        <w:rPr>
          <w:rFonts w:ascii="Times New Roman" w:hAnsi="Times New Roman" w:cs="Times New Roman"/>
          <w:sz w:val="24"/>
          <w:szCs w:val="24"/>
        </w:rPr>
        <w:t>Сэндайской</w:t>
      </w:r>
      <w:proofErr w:type="spellEnd"/>
      <w:r w:rsidRPr="009D7894">
        <w:rPr>
          <w:rFonts w:ascii="Times New Roman" w:hAnsi="Times New Roman" w:cs="Times New Roman"/>
          <w:sz w:val="24"/>
          <w:szCs w:val="24"/>
        </w:rPr>
        <w:t xml:space="preserve"> рамочной программы. Эти индикаторы в конечном итоге будут отражать соглашения по показателям </w:t>
      </w:r>
      <w:proofErr w:type="spellStart"/>
      <w:r w:rsidRPr="009D7894">
        <w:rPr>
          <w:rFonts w:ascii="Times New Roman" w:hAnsi="Times New Roman" w:cs="Times New Roman"/>
          <w:sz w:val="24"/>
          <w:szCs w:val="24"/>
        </w:rPr>
        <w:t>Сэндайской</w:t>
      </w:r>
      <w:proofErr w:type="spellEnd"/>
      <w:r w:rsidRPr="009D7894">
        <w:rPr>
          <w:rFonts w:ascii="Times New Roman" w:hAnsi="Times New Roman" w:cs="Times New Roman"/>
          <w:sz w:val="24"/>
          <w:szCs w:val="24"/>
        </w:rPr>
        <w:t xml:space="preserve"> рамочной программы.</w:t>
      </w:r>
    </w:p>
    <w:p w14:paraId="05FBC69E"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Обоснование:</w:t>
      </w:r>
    </w:p>
    <w:p w14:paraId="26FF5818"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На данные об ущербе от катастроф существенное влияние оказывают крупномасштабные катастрофические события, которые представляют собой серьезные последствия. МСУОБ ООН рекомендует странам сообщать данные о событиях, чтобы дополнительный анализ мог быть осуществлен путем включения и исключения таких катастрофических событий, которые могут представлять серьезные последствия.</w:t>
      </w:r>
    </w:p>
    <w:p w14:paraId="2CE34924"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Комментарии и ограничения:</w:t>
      </w:r>
    </w:p>
    <w:p w14:paraId="2679BB4D"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Не во всех странах имеется сопоставимая национальная база данных о потерях от стихийных бедствий, которая согласуется с этими руководящими принципами (хотя нынешний охват превышает 89 стран). Поэтому к 2020 году ожидается, что все страны будут создавать / корректировать национальные базы данных о стихийных бедствиях в соответствии с рекомендациями и руководящими принципами OEIWG (межправительственная рабочая группа экспертов открытого состава по показателям и терминологии, касающимся уменьшения риска катастроф).</w:t>
      </w:r>
    </w:p>
    <w:p w14:paraId="27134EEB"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Методология</w:t>
      </w:r>
    </w:p>
    <w:p w14:paraId="2AC74DF6"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Метод расчета:</w:t>
      </w:r>
    </w:p>
    <w:p w14:paraId="3B069FDF"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lastRenderedPageBreak/>
        <w:t xml:space="preserve">Примечание. Методология вычислений для нескольких индикаторов очень полна и длинна (около 180 страниц) и, вероятно, выходит за рамки этих метаданных. МСУОБ предпочитает ссылаться на результаты Межправительственной рабочей группы открытого состава, которая предоставляет полную подробную методологию для каждого показателя и </w:t>
      </w:r>
      <w:proofErr w:type="spellStart"/>
      <w:r w:rsidRPr="009D7894">
        <w:rPr>
          <w:rFonts w:ascii="Times New Roman" w:hAnsi="Times New Roman" w:cs="Times New Roman"/>
          <w:sz w:val="24"/>
          <w:szCs w:val="24"/>
        </w:rPr>
        <w:t>подпоказателя</w:t>
      </w:r>
      <w:proofErr w:type="spellEnd"/>
      <w:r w:rsidRPr="009D7894">
        <w:rPr>
          <w:rFonts w:ascii="Times New Roman" w:hAnsi="Times New Roman" w:cs="Times New Roman"/>
          <w:sz w:val="24"/>
          <w:szCs w:val="24"/>
        </w:rPr>
        <w:t>.</w:t>
      </w:r>
    </w:p>
    <w:p w14:paraId="08300F1F"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Последнюю версию этих методологий можно получить по ссылке:   http://www.preventionweb.net/documents/oiewg/Technical%20Collection%20of%20Concept%20Notes%20</w:t>
      </w:r>
      <w:r w:rsidRPr="009D7894">
        <w:rPr>
          <w:rFonts w:ascii="Times New Roman" w:hAnsi="Times New Roman" w:cs="Times New Roman"/>
          <w:sz w:val="24"/>
          <w:szCs w:val="24"/>
          <w:lang w:val="en-US"/>
        </w:rPr>
        <w:t>on</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Indicators</w:t>
      </w:r>
      <w:r w:rsidRPr="009D7894">
        <w:rPr>
          <w:rFonts w:ascii="Times New Roman" w:hAnsi="Times New Roman" w:cs="Times New Roman"/>
          <w:sz w:val="24"/>
          <w:szCs w:val="24"/>
        </w:rPr>
        <w:t>.</w:t>
      </w:r>
      <w:r w:rsidRPr="009D7894">
        <w:rPr>
          <w:rFonts w:ascii="Times New Roman" w:hAnsi="Times New Roman" w:cs="Times New Roman"/>
          <w:sz w:val="24"/>
          <w:szCs w:val="24"/>
          <w:lang w:val="en-US"/>
        </w:rPr>
        <w:t>pdf</w:t>
      </w:r>
      <w:r w:rsidRPr="009D7894">
        <w:rPr>
          <w:rFonts w:ascii="Times New Roman" w:hAnsi="Times New Roman" w:cs="Times New Roman"/>
          <w:sz w:val="24"/>
          <w:szCs w:val="24"/>
        </w:rPr>
        <w:t xml:space="preserve"> </w:t>
      </w:r>
    </w:p>
    <w:p w14:paraId="36C0DB53"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Краткое резюме</w:t>
      </w:r>
    </w:p>
    <w:p w14:paraId="1FAAC86F"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В оригинальных национальных базах данных об авариях обычно регистрируется стоимость физического ущерба (потеря единицы жилья, потеря инфраструктуры и т. д.), Которая нуждается в преобразовании в денежную оценку в соответствии с методологией МСУОБ ООН *. Конвертированное глобальное значение делится на глобальный ВВП (с поправкой на инфляцию, в постоянных ценах, в долларах США), рассчитанный на основе показателей развития Всемирного банка.</w:t>
      </w:r>
    </w:p>
    <w:p w14:paraId="75D81686" w14:textId="77777777" w:rsidR="00364F2E" w:rsidRPr="009D7894" w:rsidRDefault="00364F2E" w:rsidP="00364F2E">
      <w:pPr>
        <w:jc w:val="both"/>
        <w:rPr>
          <w:rFonts w:ascii="Times New Roman" w:hAnsi="Times New Roman" w:cs="Times New Roman"/>
          <w:b/>
          <w:sz w:val="24"/>
          <w:szCs w:val="24"/>
        </w:rPr>
      </w:pPr>
      <w:proofErr w:type="spellStart"/>
      <w:r w:rsidRPr="009D7894">
        <w:rPr>
          <w:rFonts w:ascii="Times New Roman" w:hAnsi="Times New Roman" w:cs="Times New Roman"/>
          <w:b/>
          <w:sz w:val="24"/>
          <w:szCs w:val="24"/>
        </w:rPr>
        <w:t>Дезагрегация</w:t>
      </w:r>
      <w:proofErr w:type="spellEnd"/>
    </w:p>
    <w:p w14:paraId="7DE50877"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 странам, в зависимости от случая, по типу опасности (например, разбивка по климатологическим, гидрологическим, метеорологическим, геофизическим, биологическим и внеземным для естественных опасностей типам в соответствии классификации IRDR)</w:t>
      </w:r>
    </w:p>
    <w:p w14:paraId="5682ABC0"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 категории потерь активов (здравоохранение / образование / дорожная инфраструктура и т.д.)</w:t>
      </w:r>
    </w:p>
    <w:p w14:paraId="6E03BB97"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 режиму транспортировки (для 11.5.2)</w:t>
      </w:r>
    </w:p>
    <w:p w14:paraId="20407DB4"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 секторам услуг (для 11.5.2)</w:t>
      </w:r>
    </w:p>
    <w:p w14:paraId="652320F4"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Обработка отсутствующих значений</w:t>
      </w:r>
    </w:p>
    <w:p w14:paraId="0FB4242F" w14:textId="77777777" w:rsidR="00364F2E" w:rsidRPr="009D7894" w:rsidRDefault="00364F2E" w:rsidP="00364F2E">
      <w:pPr>
        <w:jc w:val="both"/>
        <w:rPr>
          <w:rFonts w:ascii="Times New Roman" w:hAnsi="Times New Roman" w:cs="Times New Roman"/>
          <w:i/>
          <w:sz w:val="24"/>
          <w:szCs w:val="24"/>
        </w:rPr>
      </w:pPr>
      <w:r w:rsidRPr="009D7894">
        <w:rPr>
          <w:rFonts w:ascii="Times New Roman" w:hAnsi="Times New Roman" w:cs="Times New Roman"/>
          <w:i/>
          <w:sz w:val="24"/>
          <w:szCs w:val="24"/>
        </w:rPr>
        <w:t xml:space="preserve">На уровне страны: </w:t>
      </w:r>
    </w:p>
    <w:p w14:paraId="0CDCD600"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В Национальной базе данных об авариях недостающие значения и 0 или пустые значения считаются эквивалентными. Это является следствием типичной формы отчетов о бедственных ситуациях, в которых учитывают только те, которые оставили после себя последствия. Обычно о </w:t>
      </w:r>
      <w:proofErr w:type="spellStart"/>
      <w:r w:rsidRPr="009D7894">
        <w:rPr>
          <w:rFonts w:ascii="Times New Roman" w:hAnsi="Times New Roman" w:cs="Times New Roman"/>
          <w:sz w:val="24"/>
          <w:szCs w:val="24"/>
        </w:rPr>
        <w:t>беспоследственно</w:t>
      </w:r>
      <w:proofErr w:type="spellEnd"/>
      <w:r w:rsidRPr="009D7894">
        <w:rPr>
          <w:rFonts w:ascii="Times New Roman" w:hAnsi="Times New Roman" w:cs="Times New Roman"/>
          <w:sz w:val="24"/>
          <w:szCs w:val="24"/>
        </w:rPr>
        <w:t xml:space="preserve"> произошедших бедственных ситуациях просто не сообщается (т.е. в отчетах не прописываются последствия, которые не произошли, например, если в результате стихийного бедствия не было нанесено никакого сельскохозяйственного ущерба, соответствующий отчет не будет включать раздел по сельскому хозяйству, вместо утверждения, что никакого воздействия на с\х не произошло).</w:t>
      </w:r>
    </w:p>
    <w:p w14:paraId="0F0A76F3"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i/>
          <w:sz w:val="24"/>
          <w:szCs w:val="24"/>
        </w:rPr>
        <w:t>На региональном и глобальном уровнях:</w:t>
      </w:r>
      <w:r w:rsidRPr="009D7894">
        <w:rPr>
          <w:rFonts w:ascii="Times New Roman" w:hAnsi="Times New Roman" w:cs="Times New Roman"/>
          <w:sz w:val="24"/>
          <w:szCs w:val="24"/>
        </w:rPr>
        <w:t xml:space="preserve"> нет данных.</w:t>
      </w:r>
    </w:p>
    <w:p w14:paraId="1F81FD8E"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Региональное агрегирование:</w:t>
      </w:r>
    </w:p>
    <w:p w14:paraId="58E8E9AE"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См. Раздел «Метод расчета».</w:t>
      </w:r>
    </w:p>
    <w:p w14:paraId="7A59A1C8"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Он будет рассчитываться как сумма прямых экономических потерь на страну, деленная на общий глобальный ВВП.</w:t>
      </w:r>
    </w:p>
    <w:p w14:paraId="5BA0733C"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lastRenderedPageBreak/>
        <w:t>Источники расхождений</w:t>
      </w:r>
    </w:p>
    <w:p w14:paraId="3571AF1F"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Порог (например, включая / исключая мелкие / крупномасштабные катастрофы): Международные источники данных записывают только события, которые превышают некоторый порог воздействия. Например, EMDAT (международная база данных чрезвычайных катастроф) регистрирует только события со смертностью более 10, пострадавшими более 100 или затрагивающие вопросы международных деклараций. Частные страховые или перестраховочные базы данных о стихийных бедствиях фиксируют только те события убытки, от которых были застрахованы, что отрицательно сказывается на странах с низким уровнем проникновения на страховой рынок.</w:t>
      </w:r>
    </w:p>
    <w:p w14:paraId="6558086F"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Методология / определение: Международные источники данных используют вторичные источники данных для сборки своих наборов данных. Эти источники данных обычно имеют неравномерные или даже непоследовательные методологии, создающие разнородные наборы данных.</w:t>
      </w:r>
    </w:p>
    <w:p w14:paraId="7D4871CC"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Наблюдение (данные на национальном уровне более полные): международные сборщики данных из-за ограничений доступа к информации не регистрируют большое количество событий, которые не публикуются на международном уровне или никогда не «видны» из используемых вторичных источников данных.</w:t>
      </w:r>
    </w:p>
    <w:p w14:paraId="5F429964"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Источники данных</w:t>
      </w:r>
    </w:p>
    <w:p w14:paraId="19037BF4"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Описание:</w:t>
      </w:r>
    </w:p>
    <w:p w14:paraId="35B70553"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Национальная база данных о катастрофах, сообщенная МСУОБ ООН</w:t>
      </w:r>
    </w:p>
    <w:p w14:paraId="49541825"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Процесс сбора:</w:t>
      </w:r>
    </w:p>
    <w:p w14:paraId="3A2F18DC"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Официальные партнеры на </w:t>
      </w:r>
      <w:proofErr w:type="spellStart"/>
      <w:r w:rsidRPr="009D7894">
        <w:rPr>
          <w:rFonts w:ascii="Times New Roman" w:hAnsi="Times New Roman" w:cs="Times New Roman"/>
          <w:sz w:val="24"/>
          <w:szCs w:val="24"/>
        </w:rPr>
        <w:t>страновом</w:t>
      </w:r>
      <w:proofErr w:type="spellEnd"/>
      <w:r w:rsidRPr="009D7894">
        <w:rPr>
          <w:rFonts w:ascii="Times New Roman" w:hAnsi="Times New Roman" w:cs="Times New Roman"/>
          <w:sz w:val="24"/>
          <w:szCs w:val="24"/>
        </w:rPr>
        <w:t xml:space="preserve"> уровне будут создавать / корректировать национальные базы данных о потерях в случае бедствий в соответствии с рекомендациями и руководящими принципами OEIWG (межправительственная рабочая группа экспертов открытого состава по показателям и терминологии, касающимся уменьшения риска катастроф).</w:t>
      </w:r>
    </w:p>
    <w:p w14:paraId="3BD98C75" w14:textId="77777777" w:rsidR="00364F2E" w:rsidRPr="009D7894" w:rsidRDefault="00364F2E" w:rsidP="00364F2E">
      <w:pPr>
        <w:spacing w:after="0"/>
        <w:jc w:val="both"/>
        <w:rPr>
          <w:rFonts w:ascii="Times New Roman" w:hAnsi="Times New Roman" w:cs="Times New Roman"/>
          <w:b/>
          <w:sz w:val="24"/>
          <w:szCs w:val="24"/>
        </w:rPr>
      </w:pPr>
      <w:r w:rsidRPr="009D7894">
        <w:rPr>
          <w:rFonts w:ascii="Times New Roman" w:hAnsi="Times New Roman" w:cs="Times New Roman"/>
          <w:b/>
          <w:sz w:val="24"/>
          <w:szCs w:val="24"/>
        </w:rPr>
        <w:t>Доступность данных</w:t>
      </w:r>
    </w:p>
    <w:p w14:paraId="23EE4ADC" w14:textId="77777777" w:rsidR="00364F2E" w:rsidRPr="009D7894" w:rsidRDefault="00364F2E" w:rsidP="00364F2E">
      <w:pPr>
        <w:spacing w:after="0"/>
        <w:jc w:val="both"/>
        <w:rPr>
          <w:rFonts w:ascii="Times New Roman" w:hAnsi="Times New Roman" w:cs="Times New Roman"/>
          <w:sz w:val="24"/>
          <w:szCs w:val="24"/>
        </w:rPr>
      </w:pPr>
      <w:r w:rsidRPr="009D7894">
        <w:rPr>
          <w:rFonts w:ascii="Times New Roman" w:hAnsi="Times New Roman" w:cs="Times New Roman"/>
          <w:sz w:val="24"/>
          <w:szCs w:val="24"/>
        </w:rPr>
        <w:t>Описание:</w:t>
      </w:r>
    </w:p>
    <w:p w14:paraId="07BA920C"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Порядка 100 стран</w:t>
      </w:r>
    </w:p>
    <w:p w14:paraId="1B818BB6"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Число стран с национальными базами данных об авариях с использованием инструментов и методологии </w:t>
      </w:r>
      <w:proofErr w:type="spellStart"/>
      <w:r w:rsidRPr="009D7894">
        <w:rPr>
          <w:rFonts w:ascii="Times New Roman" w:hAnsi="Times New Roman" w:cs="Times New Roman"/>
          <w:sz w:val="24"/>
          <w:szCs w:val="24"/>
        </w:rPr>
        <w:t>DesInventar</w:t>
      </w:r>
      <w:proofErr w:type="spellEnd"/>
      <w:r w:rsidRPr="009D7894">
        <w:rPr>
          <w:rFonts w:ascii="Times New Roman" w:hAnsi="Times New Roman" w:cs="Times New Roman"/>
          <w:sz w:val="24"/>
          <w:szCs w:val="24"/>
        </w:rPr>
        <w:t xml:space="preserve"> в настоящее время составляет 89 стран. Учитывая требования к данным о бедствиях, зафиксированные в отчетности по СГД и целевым показателям </w:t>
      </w:r>
      <w:proofErr w:type="spellStart"/>
      <w:r w:rsidRPr="009D7894">
        <w:rPr>
          <w:rFonts w:ascii="Times New Roman" w:hAnsi="Times New Roman" w:cs="Times New Roman"/>
          <w:sz w:val="24"/>
          <w:szCs w:val="24"/>
        </w:rPr>
        <w:t>Сэндайской</w:t>
      </w:r>
      <w:proofErr w:type="spellEnd"/>
      <w:r w:rsidRPr="009D7894">
        <w:rPr>
          <w:rFonts w:ascii="Times New Roman" w:hAnsi="Times New Roman" w:cs="Times New Roman"/>
          <w:sz w:val="24"/>
          <w:szCs w:val="24"/>
        </w:rPr>
        <w:t xml:space="preserve"> рамочной программы, ожидается, что к 2020 году все государства-члены будут создавать или корректировать свои национальные базы данных о катастрофах в соответствии с рекомендациями и руководящими принципами OEIWG (межправительственная рабочая группа экспертов открытого состава по показателям и терминологии, касающимся уменьшения риска катастроф).</w:t>
      </w:r>
    </w:p>
    <w:p w14:paraId="53D9852E"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Временные ряды: с 1990 по 2013 год: Национальная база данных об авариях.</w:t>
      </w:r>
    </w:p>
    <w:p w14:paraId="5AD71B2A"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Календарь</w:t>
      </w:r>
    </w:p>
    <w:p w14:paraId="0939F1DA"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Сбор данных: 2017-2018</w:t>
      </w:r>
    </w:p>
    <w:p w14:paraId="0EFFF8A3"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lastRenderedPageBreak/>
        <w:t>Выпуск данных: первоначальные наборы данных в 2017 году, первый довольно полный набор данных к 2019 году</w:t>
      </w:r>
    </w:p>
    <w:p w14:paraId="0CF240C9"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Поставщики данных</w:t>
      </w:r>
    </w:p>
    <w:p w14:paraId="44AC2201"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Название: </w:t>
      </w:r>
    </w:p>
    <w:p w14:paraId="1AA1690A"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В большинстве стран национальные базы данных о катастрофах создаются и управляются агентствами специального назначения, включая национальные агентства по борьбе со стихийными бедствиями, агентствами гражданской защиты и метеорологическими агентствами,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СРБ и УРБ, и страховые базы данных или источники данных, когда проникновение на рынок очень велико.</w:t>
      </w:r>
    </w:p>
    <w:p w14:paraId="3D4774F5"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Описание:</w:t>
      </w:r>
    </w:p>
    <w:p w14:paraId="795EAA0D"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В большинстве стран национальные базы данных о катастрофах создаются и управляются агентствами специального назначения, включая национальные агентства по борьбе со стихийными бедствиями, агентствами гражданской защиты и метеорологическими агентствами,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СРБ и УРБ, и страховые базы данных или источники данных, когда проникновение на рынок очень велико.</w:t>
      </w:r>
    </w:p>
    <w:p w14:paraId="3FAEA6C4" w14:textId="77777777" w:rsidR="00364F2E" w:rsidRPr="009D7894" w:rsidRDefault="00364F2E" w:rsidP="00364F2E">
      <w:pPr>
        <w:spacing w:after="0"/>
        <w:jc w:val="both"/>
        <w:rPr>
          <w:rFonts w:ascii="Times New Roman" w:hAnsi="Times New Roman" w:cs="Times New Roman"/>
          <w:b/>
          <w:sz w:val="24"/>
          <w:szCs w:val="24"/>
        </w:rPr>
      </w:pPr>
      <w:r w:rsidRPr="009D7894">
        <w:rPr>
          <w:rFonts w:ascii="Times New Roman" w:hAnsi="Times New Roman" w:cs="Times New Roman"/>
          <w:b/>
          <w:sz w:val="24"/>
          <w:szCs w:val="24"/>
        </w:rPr>
        <w:t>Составители данных</w:t>
      </w:r>
    </w:p>
    <w:p w14:paraId="2A40725D"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Названия: UNISDR (Международная стратегия Организации Объединенных Наций по уменьшению опасности бедствий)</w:t>
      </w:r>
    </w:p>
    <w:p w14:paraId="0570265E"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Рекомендации</w:t>
      </w:r>
    </w:p>
    <w:p w14:paraId="3A7C89B0"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Электронный адрес: </w:t>
      </w:r>
    </w:p>
    <w:p w14:paraId="56BAFEDA"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lang w:val="en-US"/>
        </w:rPr>
        <w:t>http</w:t>
      </w:r>
      <w:r w:rsidRPr="009D7894">
        <w:rPr>
          <w:rFonts w:ascii="Times New Roman" w:hAnsi="Times New Roman" w:cs="Times New Roman"/>
          <w:sz w:val="24"/>
          <w:szCs w:val="24"/>
        </w:rPr>
        <w:t>://</w:t>
      </w:r>
      <w:r w:rsidRPr="009D7894">
        <w:rPr>
          <w:rFonts w:ascii="Times New Roman" w:hAnsi="Times New Roman" w:cs="Times New Roman"/>
          <w:sz w:val="24"/>
          <w:szCs w:val="24"/>
          <w:lang w:val="en-US"/>
        </w:rPr>
        <w:t>www</w:t>
      </w:r>
      <w:r w:rsidRPr="009D7894">
        <w:rPr>
          <w:rFonts w:ascii="Times New Roman" w:hAnsi="Times New Roman" w:cs="Times New Roman"/>
          <w:sz w:val="24"/>
          <w:szCs w:val="24"/>
        </w:rPr>
        <w:t>.</w:t>
      </w:r>
      <w:proofErr w:type="spellStart"/>
      <w:r w:rsidRPr="009D7894">
        <w:rPr>
          <w:rFonts w:ascii="Times New Roman" w:hAnsi="Times New Roman" w:cs="Times New Roman"/>
          <w:sz w:val="24"/>
          <w:szCs w:val="24"/>
          <w:lang w:val="en-US"/>
        </w:rPr>
        <w:t>preventionweb</w:t>
      </w:r>
      <w:proofErr w:type="spellEnd"/>
      <w:r w:rsidRPr="009D7894">
        <w:rPr>
          <w:rFonts w:ascii="Times New Roman" w:hAnsi="Times New Roman" w:cs="Times New Roman"/>
          <w:sz w:val="24"/>
          <w:szCs w:val="24"/>
        </w:rPr>
        <w:t>.</w:t>
      </w:r>
      <w:r w:rsidRPr="009D7894">
        <w:rPr>
          <w:rFonts w:ascii="Times New Roman" w:hAnsi="Times New Roman" w:cs="Times New Roman"/>
          <w:sz w:val="24"/>
          <w:szCs w:val="24"/>
          <w:lang w:val="en-US"/>
        </w:rPr>
        <w:t>net</w:t>
      </w:r>
      <w:r w:rsidRPr="009D7894">
        <w:rPr>
          <w:rFonts w:ascii="Times New Roman" w:hAnsi="Times New Roman" w:cs="Times New Roman"/>
          <w:sz w:val="24"/>
          <w:szCs w:val="24"/>
        </w:rPr>
        <w:t>/</w:t>
      </w:r>
      <w:r w:rsidRPr="009D7894">
        <w:rPr>
          <w:rFonts w:ascii="Times New Roman" w:hAnsi="Times New Roman" w:cs="Times New Roman"/>
          <w:sz w:val="24"/>
          <w:szCs w:val="24"/>
          <w:lang w:val="en-US"/>
        </w:rPr>
        <w:t>documents</w:t>
      </w:r>
      <w:r w:rsidRPr="009D7894">
        <w:rPr>
          <w:rFonts w:ascii="Times New Roman" w:hAnsi="Times New Roman" w:cs="Times New Roman"/>
          <w:sz w:val="24"/>
          <w:szCs w:val="24"/>
        </w:rPr>
        <w:t>/</w:t>
      </w:r>
      <w:proofErr w:type="spellStart"/>
      <w:r w:rsidRPr="009D7894">
        <w:rPr>
          <w:rFonts w:ascii="Times New Roman" w:hAnsi="Times New Roman" w:cs="Times New Roman"/>
          <w:sz w:val="24"/>
          <w:szCs w:val="24"/>
          <w:lang w:val="en-US"/>
        </w:rPr>
        <w:t>oiewg</w:t>
      </w:r>
      <w:proofErr w:type="spellEnd"/>
      <w:r w:rsidRPr="009D7894">
        <w:rPr>
          <w:rFonts w:ascii="Times New Roman" w:hAnsi="Times New Roman" w:cs="Times New Roman"/>
          <w:sz w:val="24"/>
          <w:szCs w:val="24"/>
        </w:rPr>
        <w:t>/</w:t>
      </w:r>
      <w:r w:rsidRPr="009D7894">
        <w:rPr>
          <w:rFonts w:ascii="Times New Roman" w:hAnsi="Times New Roman" w:cs="Times New Roman"/>
          <w:sz w:val="24"/>
          <w:szCs w:val="24"/>
          <w:lang w:val="en-US"/>
        </w:rPr>
        <w:t>Technical</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Collection</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of</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Concept</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Notes</w:t>
      </w:r>
      <w:r w:rsidRPr="009D7894">
        <w:rPr>
          <w:rFonts w:ascii="Times New Roman" w:hAnsi="Times New Roman" w:cs="Times New Roman"/>
          <w:sz w:val="24"/>
          <w:szCs w:val="24"/>
        </w:rPr>
        <w:t xml:space="preserve"> %20</w:t>
      </w:r>
      <w:r w:rsidRPr="009D7894">
        <w:rPr>
          <w:rFonts w:ascii="Times New Roman" w:hAnsi="Times New Roman" w:cs="Times New Roman"/>
          <w:sz w:val="24"/>
          <w:szCs w:val="24"/>
          <w:lang w:val="en-US"/>
        </w:rPr>
        <w:t>on</w:t>
      </w:r>
      <w:r w:rsidRPr="009D7894">
        <w:rPr>
          <w:rFonts w:ascii="Times New Roman" w:hAnsi="Times New Roman" w:cs="Times New Roman"/>
          <w:sz w:val="24"/>
          <w:szCs w:val="24"/>
        </w:rPr>
        <w:t>%20</w:t>
      </w:r>
      <w:r w:rsidRPr="009D7894">
        <w:rPr>
          <w:rFonts w:ascii="Times New Roman" w:hAnsi="Times New Roman" w:cs="Times New Roman"/>
          <w:sz w:val="24"/>
          <w:szCs w:val="24"/>
          <w:lang w:val="en-US"/>
        </w:rPr>
        <w:t>Indicators</w:t>
      </w:r>
      <w:r w:rsidRPr="009D7894">
        <w:rPr>
          <w:rFonts w:ascii="Times New Roman" w:hAnsi="Times New Roman" w:cs="Times New Roman"/>
          <w:sz w:val="24"/>
          <w:szCs w:val="24"/>
        </w:rPr>
        <w:t>.</w:t>
      </w:r>
      <w:r w:rsidRPr="009D7894">
        <w:rPr>
          <w:rFonts w:ascii="Times New Roman" w:hAnsi="Times New Roman" w:cs="Times New Roman"/>
          <w:sz w:val="24"/>
          <w:szCs w:val="24"/>
          <w:lang w:val="en-US"/>
        </w:rPr>
        <w:t>pdf</w:t>
      </w:r>
      <w:r w:rsidRPr="009D7894">
        <w:rPr>
          <w:rFonts w:ascii="Times New Roman" w:hAnsi="Times New Roman" w:cs="Times New Roman"/>
          <w:sz w:val="24"/>
          <w:szCs w:val="24"/>
        </w:rPr>
        <w:t xml:space="preserve"> </w:t>
      </w:r>
    </w:p>
    <w:p w14:paraId="5ECFC9D5"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Источники:</w:t>
      </w:r>
    </w:p>
    <w:p w14:paraId="647EEC02"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Организация Объединенных Наций поручила Межправительственной рабочей группе экспертов открытого состава по показателям и терминологии, касающейся уменьшения опасности бедствий (</w:t>
      </w:r>
      <w:r w:rsidRPr="009D7894">
        <w:rPr>
          <w:rFonts w:ascii="Times New Roman" w:hAnsi="Times New Roman" w:cs="Times New Roman"/>
          <w:sz w:val="24"/>
          <w:szCs w:val="24"/>
          <w:lang w:val="en-US"/>
        </w:rPr>
        <w:t>OEIWG</w:t>
      </w:r>
      <w:r w:rsidRPr="009D7894">
        <w:rPr>
          <w:rFonts w:ascii="Times New Roman" w:hAnsi="Times New Roman" w:cs="Times New Roman"/>
          <w:sz w:val="24"/>
          <w:szCs w:val="24"/>
        </w:rPr>
        <w:t xml:space="preserve">), разработку набора показателей для измерения глобального прогресса в осуществлении Механизма </w:t>
      </w:r>
      <w:proofErr w:type="spellStart"/>
      <w:r w:rsidRPr="009D7894">
        <w:rPr>
          <w:rFonts w:ascii="Times New Roman" w:hAnsi="Times New Roman" w:cs="Times New Roman"/>
          <w:sz w:val="24"/>
          <w:szCs w:val="24"/>
        </w:rPr>
        <w:t>Сэндай</w:t>
      </w:r>
      <w:proofErr w:type="spellEnd"/>
      <w:r w:rsidRPr="009D7894">
        <w:rPr>
          <w:rFonts w:ascii="Times New Roman" w:hAnsi="Times New Roman" w:cs="Times New Roman"/>
          <w:sz w:val="24"/>
          <w:szCs w:val="24"/>
        </w:rPr>
        <w:t xml:space="preserve">. Работа OEIWG должна быть завершена к декабрю 2016 года, а ее доклад представлен Генеральной Ассамблее для рассмотрения. Межправительственная рабочая группа по Целям устойчивого развития и Статистическая комиссия ООН официально признают роль </w:t>
      </w:r>
      <w:r w:rsidRPr="009D7894">
        <w:rPr>
          <w:rFonts w:ascii="Times New Roman" w:hAnsi="Times New Roman" w:cs="Times New Roman"/>
          <w:sz w:val="24"/>
          <w:szCs w:val="24"/>
          <w:lang w:val="en-US"/>
        </w:rPr>
        <w:t>OEIWG</w:t>
      </w:r>
      <w:r w:rsidRPr="009D7894">
        <w:rPr>
          <w:rFonts w:ascii="Times New Roman" w:hAnsi="Times New Roman" w:cs="Times New Roman"/>
          <w:sz w:val="24"/>
          <w:szCs w:val="24"/>
        </w:rPr>
        <w:t xml:space="preserve"> и переложили ответственность за дальнейшую доработку и разработку методологии для показателей ЦУР, связанных с бедствиями, на эту рабочую группу.</w:t>
      </w:r>
    </w:p>
    <w:p w14:paraId="7430FDB0" w14:textId="77777777" w:rsidR="00364F2E" w:rsidRPr="009D7894" w:rsidRDefault="00364F2E" w:rsidP="00364F2E">
      <w:pPr>
        <w:jc w:val="both"/>
        <w:rPr>
          <w:rFonts w:ascii="Times New Roman" w:hAnsi="Times New Roman" w:cs="Times New Roman"/>
          <w:sz w:val="24"/>
          <w:szCs w:val="24"/>
        </w:rPr>
      </w:pPr>
      <w:hyperlink r:id="rId4" w:history="1">
        <w:r w:rsidRPr="009D7894">
          <w:rPr>
            <w:rStyle w:val="Hyperlink"/>
            <w:rFonts w:ascii="Times New Roman" w:hAnsi="Times New Roman" w:cs="Times New Roman"/>
            <w:color w:val="auto"/>
            <w:sz w:val="24"/>
            <w:szCs w:val="24"/>
            <w:u w:val="none"/>
          </w:rPr>
          <w:t>http://www.preventionweb.net/drr-framework/open-ended-working-group/</w:t>
        </w:r>
      </w:hyperlink>
    </w:p>
    <w:p w14:paraId="16813789"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 xml:space="preserve">Последние версии документов находятся по ссылке: </w:t>
      </w:r>
    </w:p>
    <w:p w14:paraId="763C3A23" w14:textId="77777777" w:rsidR="00364F2E" w:rsidRPr="009D7894" w:rsidRDefault="00364F2E" w:rsidP="00364F2E">
      <w:pPr>
        <w:jc w:val="both"/>
        <w:rPr>
          <w:rFonts w:ascii="Times New Roman" w:hAnsi="Times New Roman" w:cs="Times New Roman"/>
          <w:sz w:val="24"/>
          <w:szCs w:val="24"/>
        </w:rPr>
      </w:pPr>
      <w:hyperlink r:id="rId5" w:history="1">
        <w:r w:rsidRPr="009D7894">
          <w:rPr>
            <w:rStyle w:val="Hyperlink"/>
            <w:rFonts w:ascii="Times New Roman" w:hAnsi="Times New Roman" w:cs="Times New Roman"/>
            <w:color w:val="auto"/>
            <w:sz w:val="24"/>
            <w:szCs w:val="24"/>
            <w:u w:val="none"/>
          </w:rPr>
          <w:t>http://www.preventionweb.net/drr-framework/open-ended-working-group/sessional-intersessionaldocuments</w:t>
        </w:r>
      </w:hyperlink>
      <w:r w:rsidRPr="009D7894">
        <w:rPr>
          <w:rFonts w:ascii="Times New Roman" w:hAnsi="Times New Roman" w:cs="Times New Roman"/>
          <w:sz w:val="24"/>
          <w:szCs w:val="24"/>
        </w:rPr>
        <w:t xml:space="preserve"> </w:t>
      </w:r>
    </w:p>
    <w:p w14:paraId="7F8F59D4" w14:textId="77777777" w:rsidR="00364F2E" w:rsidRPr="009D7894" w:rsidRDefault="00364F2E" w:rsidP="00364F2E">
      <w:pPr>
        <w:jc w:val="both"/>
        <w:rPr>
          <w:rFonts w:ascii="Times New Roman" w:hAnsi="Times New Roman" w:cs="Times New Roman"/>
          <w:b/>
          <w:sz w:val="24"/>
          <w:szCs w:val="24"/>
        </w:rPr>
      </w:pPr>
      <w:r w:rsidRPr="009D7894">
        <w:rPr>
          <w:rFonts w:ascii="Times New Roman" w:hAnsi="Times New Roman" w:cs="Times New Roman"/>
          <w:b/>
          <w:sz w:val="24"/>
          <w:szCs w:val="24"/>
        </w:rPr>
        <w:t>Связанные показатели</w:t>
      </w:r>
    </w:p>
    <w:p w14:paraId="397629CE" w14:textId="77777777" w:rsidR="00364F2E" w:rsidRPr="009D7894"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1.5; 11.5; 11.b; 13.1; 2.4; 3.6; 3.9; 3.d; 4.a; 6.6; 9.1; 9.a; 11.1; 11.3; 11.c; 13.2; 13.3; 13.a; 13.b; 14.2; 15.1;</w:t>
      </w:r>
    </w:p>
    <w:p w14:paraId="42FA6090" w14:textId="65EB63F8" w:rsidR="000A50EB" w:rsidRPr="00364F2E" w:rsidRDefault="00364F2E" w:rsidP="00364F2E">
      <w:pPr>
        <w:jc w:val="both"/>
        <w:rPr>
          <w:rFonts w:ascii="Times New Roman" w:hAnsi="Times New Roman" w:cs="Times New Roman"/>
          <w:sz w:val="24"/>
          <w:szCs w:val="24"/>
        </w:rPr>
      </w:pPr>
      <w:r w:rsidRPr="009D7894">
        <w:rPr>
          <w:rFonts w:ascii="Times New Roman" w:hAnsi="Times New Roman" w:cs="Times New Roman"/>
          <w:sz w:val="24"/>
          <w:szCs w:val="24"/>
        </w:rPr>
        <w:t>15.2; 15.3; 15.9.</w:t>
      </w:r>
      <w:bookmarkStart w:id="0" w:name="_GoBack"/>
      <w:bookmarkEnd w:id="0"/>
    </w:p>
    <w:sectPr w:rsidR="000A50EB" w:rsidRPr="0036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050"/>
    <w:rsid w:val="000A3A7E"/>
    <w:rsid w:val="000A50EB"/>
    <w:rsid w:val="000D756D"/>
    <w:rsid w:val="0021007E"/>
    <w:rsid w:val="00251DC4"/>
    <w:rsid w:val="00273D08"/>
    <w:rsid w:val="00285E80"/>
    <w:rsid w:val="00364F2E"/>
    <w:rsid w:val="003926DE"/>
    <w:rsid w:val="003E71B9"/>
    <w:rsid w:val="004D5F49"/>
    <w:rsid w:val="00570BE1"/>
    <w:rsid w:val="00647DC0"/>
    <w:rsid w:val="007B781E"/>
    <w:rsid w:val="00810FC7"/>
    <w:rsid w:val="008278EB"/>
    <w:rsid w:val="0087751B"/>
    <w:rsid w:val="009B424A"/>
    <w:rsid w:val="009D7894"/>
    <w:rsid w:val="00B23004"/>
    <w:rsid w:val="00B64275"/>
    <w:rsid w:val="00C02261"/>
    <w:rsid w:val="00C076E7"/>
    <w:rsid w:val="00CF4939"/>
    <w:rsid w:val="00E04C54"/>
    <w:rsid w:val="00E61A23"/>
    <w:rsid w:val="00EA4050"/>
    <w:rsid w:val="00F701D4"/>
    <w:rsid w:val="00F70827"/>
    <w:rsid w:val="00F80A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A48"/>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A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ventionweb.net/drr-framework/open-ended-working-group/sessional-intersessionaldocuments" TargetMode="External"/><Relationship Id="rId4" Type="http://schemas.openxmlformats.org/officeDocument/2006/relationships/hyperlink" Target="http://www.preventionweb.net/drr-framework/open-ended-working-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19</cp:revision>
  <dcterms:created xsi:type="dcterms:W3CDTF">2017-05-30T07:43:00Z</dcterms:created>
  <dcterms:modified xsi:type="dcterms:W3CDTF">2021-08-19T16:44:00Z</dcterms:modified>
</cp:coreProperties>
</file>