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688E" w14:textId="77777777" w:rsidR="00E33058" w:rsidRPr="00E33058" w:rsidRDefault="00E33058" w:rsidP="00E33058">
      <w:pPr>
        <w:jc w:val="both"/>
        <w:rPr>
          <w:rFonts w:ascii="Times New Roman" w:hAnsi="Times New Roman" w:cs="Times New Roman"/>
          <w:b/>
          <w:sz w:val="24"/>
          <w:szCs w:val="24"/>
          <w:lang w:val="ru-RU"/>
        </w:rPr>
      </w:pPr>
      <w:r w:rsidRPr="00E33058">
        <w:rPr>
          <w:rFonts w:ascii="Times New Roman" w:hAnsi="Times New Roman" w:cs="Times New Roman"/>
          <w:b/>
          <w:sz w:val="24"/>
          <w:szCs w:val="24"/>
          <w:lang w:val="ru-RU"/>
        </w:rPr>
        <w:t>Цель 1: Повсеместная ликвидация нищеты во всех ее формах</w:t>
      </w:r>
    </w:p>
    <w:p w14:paraId="68B7ED9E" w14:textId="77777777" w:rsidR="00E33058" w:rsidRPr="00E33058" w:rsidRDefault="00E33058" w:rsidP="00E33058">
      <w:pPr>
        <w:jc w:val="both"/>
        <w:rPr>
          <w:rFonts w:ascii="Times New Roman" w:hAnsi="Times New Roman" w:cs="Times New Roman"/>
          <w:b/>
          <w:sz w:val="24"/>
          <w:szCs w:val="24"/>
          <w:lang w:val="ru-RU"/>
        </w:rPr>
      </w:pPr>
      <w:r w:rsidRPr="00E33058">
        <w:rPr>
          <w:rFonts w:ascii="Times New Roman" w:hAnsi="Times New Roman" w:cs="Times New Roman"/>
          <w:b/>
          <w:sz w:val="24"/>
          <w:szCs w:val="24"/>
          <w:lang w:val="ru-RU"/>
        </w:rPr>
        <w:t>1.5 К 2030 году повысить жизнестойкость малоимущих и лиц, находящихся в уязвимом положении, и уменьшить их незащищенность и уязвимость перед вызванными изменением климата экстремальными явлениями и другими экономическими, социальными и экологическими потрясениями и бедствиями</w:t>
      </w:r>
    </w:p>
    <w:p w14:paraId="7323C506" w14:textId="77777777" w:rsidR="00E33058" w:rsidRPr="00E33058" w:rsidRDefault="00E33058" w:rsidP="00E33058">
      <w:pPr>
        <w:jc w:val="both"/>
        <w:rPr>
          <w:rFonts w:ascii="Times New Roman" w:hAnsi="Times New Roman" w:cs="Times New Roman"/>
          <w:b/>
          <w:sz w:val="24"/>
          <w:szCs w:val="24"/>
          <w:lang w:val="ru-RU"/>
        </w:rPr>
      </w:pPr>
      <w:r w:rsidRPr="00E33058">
        <w:rPr>
          <w:rFonts w:ascii="Times New Roman" w:hAnsi="Times New Roman" w:cs="Times New Roman"/>
          <w:b/>
          <w:sz w:val="24"/>
          <w:szCs w:val="24"/>
          <w:lang w:val="ru-RU"/>
        </w:rPr>
        <w:t>1.5.4 Доля местных органов власти, принявших и осуществляющих местные стратегии снижения риска бедствий в соответствии с национальными стратегиями снижения риска бедствий</w:t>
      </w:r>
    </w:p>
    <w:p w14:paraId="3E4A7655" w14:textId="77777777" w:rsidR="00E33058" w:rsidRPr="00E33058"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Институциональная информация</w:t>
      </w:r>
    </w:p>
    <w:p w14:paraId="49AA7E29" w14:textId="77777777" w:rsidR="00E33058" w:rsidRPr="00E33058"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Организация(и):</w:t>
      </w:r>
    </w:p>
    <w:p w14:paraId="2CB6B839" w14:textId="77777777" w:rsidR="00E33058" w:rsidRPr="00E33058"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Управление Организации Объединенных Наций по уменьшению опасности бедствий (МСУОБ ООН)</w:t>
      </w:r>
    </w:p>
    <w:p w14:paraId="78C62790" w14:textId="77777777" w:rsidR="00E33058" w:rsidRPr="00E33058" w:rsidRDefault="00E33058" w:rsidP="00E33058">
      <w:pPr>
        <w:jc w:val="both"/>
        <w:rPr>
          <w:rFonts w:ascii="Times New Roman" w:hAnsi="Times New Roman" w:cs="Times New Roman"/>
          <w:b/>
          <w:sz w:val="24"/>
          <w:szCs w:val="24"/>
          <w:lang w:val="ru-RU"/>
        </w:rPr>
      </w:pPr>
      <w:r w:rsidRPr="00E33058">
        <w:rPr>
          <w:rFonts w:ascii="Times New Roman" w:hAnsi="Times New Roman" w:cs="Times New Roman"/>
          <w:b/>
          <w:sz w:val="24"/>
          <w:szCs w:val="24"/>
          <w:lang w:val="ru-RU"/>
        </w:rPr>
        <w:t>Концепции и определения</w:t>
      </w:r>
    </w:p>
    <w:p w14:paraId="64E8BCBE" w14:textId="77777777" w:rsidR="00E33058" w:rsidRPr="00A10700" w:rsidRDefault="00E33058" w:rsidP="00E33058">
      <w:pPr>
        <w:jc w:val="both"/>
        <w:rPr>
          <w:rFonts w:ascii="Times New Roman" w:hAnsi="Times New Roman" w:cs="Times New Roman"/>
          <w:sz w:val="24"/>
          <w:szCs w:val="24"/>
          <w:lang w:val="ru-RU"/>
        </w:rPr>
      </w:pPr>
      <w:r w:rsidRPr="00A10700">
        <w:rPr>
          <w:rFonts w:ascii="Times New Roman" w:hAnsi="Times New Roman" w:cs="Times New Roman"/>
          <w:sz w:val="24"/>
          <w:szCs w:val="24"/>
          <w:lang w:val="ru-RU"/>
        </w:rPr>
        <w:t>Определение:</w:t>
      </w:r>
    </w:p>
    <w:p w14:paraId="4F9DA18F" w14:textId="77777777" w:rsidR="00E33058" w:rsidRPr="00A10700" w:rsidRDefault="00E33058" w:rsidP="00E33058">
      <w:pPr>
        <w:jc w:val="both"/>
        <w:rPr>
          <w:rFonts w:ascii="Times New Roman" w:hAnsi="Times New Roman" w:cs="Times New Roman"/>
          <w:sz w:val="24"/>
          <w:szCs w:val="24"/>
          <w:lang w:val="ru-RU"/>
        </w:rPr>
      </w:pPr>
      <w:r w:rsidRPr="00A10700">
        <w:rPr>
          <w:rFonts w:ascii="Times New Roman" w:hAnsi="Times New Roman" w:cs="Times New Roman"/>
          <w:sz w:val="24"/>
          <w:szCs w:val="24"/>
          <w:lang w:val="ru-RU"/>
        </w:rPr>
        <w:t>Не применимо</w:t>
      </w:r>
    </w:p>
    <w:p w14:paraId="6D4BD14C" w14:textId="77777777" w:rsidR="00E33058" w:rsidRPr="00E33058" w:rsidRDefault="00E33058" w:rsidP="00E33058">
      <w:pPr>
        <w:jc w:val="both"/>
        <w:rPr>
          <w:rFonts w:ascii="Times New Roman" w:hAnsi="Times New Roman" w:cs="Times New Roman"/>
          <w:sz w:val="24"/>
          <w:szCs w:val="24"/>
          <w:lang w:val="ru-RU"/>
        </w:rPr>
      </w:pPr>
      <w:r w:rsidRPr="00A10700">
        <w:rPr>
          <w:rFonts w:ascii="Times New Roman" w:hAnsi="Times New Roman" w:cs="Times New Roman"/>
          <w:sz w:val="24"/>
          <w:szCs w:val="24"/>
          <w:lang w:val="ru-RU"/>
        </w:rPr>
        <w:t>[</w:t>
      </w:r>
      <w:r w:rsidRPr="00A10700">
        <w:rPr>
          <w:rFonts w:ascii="Times New Roman" w:hAnsi="Times New Roman" w:cs="Times New Roman"/>
          <w:sz w:val="24"/>
          <w:szCs w:val="24"/>
        </w:rPr>
        <w:t>a</w:t>
      </w:r>
      <w:r w:rsidRPr="00A10700">
        <w:rPr>
          <w:rFonts w:ascii="Times New Roman" w:hAnsi="Times New Roman" w:cs="Times New Roman"/>
          <w:sz w:val="24"/>
          <w:szCs w:val="24"/>
          <w:lang w:val="ru-RU"/>
        </w:rPr>
        <w:t xml:space="preserve">] Межправительственная рабочая группа экспертов открытого состава по показателям и терминологии, касающейся уменьшения опасности бедствий, созданная Генеральной Ассамблеей (резолюция 69/284), разрабатывает комплекс показателей для оценки глобального прогресса в реализации Сендайской рамочной программы. </w:t>
      </w:r>
      <w:r w:rsidRPr="00E33058">
        <w:rPr>
          <w:rFonts w:ascii="Times New Roman" w:hAnsi="Times New Roman" w:cs="Times New Roman"/>
          <w:sz w:val="24"/>
          <w:szCs w:val="24"/>
          <w:lang w:val="ru-RU"/>
        </w:rPr>
        <w:t>Эти показатели в конечном итоге будут отражать соглашения по показателям Сендайской рамочной программы.</w:t>
      </w:r>
    </w:p>
    <w:p w14:paraId="10A95576" w14:textId="77777777" w:rsidR="00E33058" w:rsidRPr="00E33058"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Обоснование:</w:t>
      </w:r>
    </w:p>
    <w:p w14:paraId="4B40454A" w14:textId="77777777" w:rsidR="00E33058" w:rsidRPr="00E33058"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Показатель построит мост между ЦУР и Сендайской рамочной программе по СРБ. Все большее число национальных правительств, которые принимают и осуществляют национальные и местные стратегии СРБ, к которым призывает Сендайская рамочная программа, будут способствовать устойчивому развитию с экономической, экологической и социальной точек зрения.</w:t>
      </w:r>
    </w:p>
    <w:p w14:paraId="7BAF1546" w14:textId="77777777" w:rsidR="00E33058" w:rsidRPr="00E33058"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Комментарии и ограничения:</w:t>
      </w:r>
    </w:p>
    <w:p w14:paraId="06D02621" w14:textId="77777777" w:rsidR="00E33058" w:rsidRPr="00601CDD" w:rsidRDefault="00E33058" w:rsidP="00E33058">
      <w:pPr>
        <w:jc w:val="both"/>
        <w:rPr>
          <w:rFonts w:ascii="Times New Roman" w:hAnsi="Times New Roman" w:cs="Times New Roman"/>
          <w:sz w:val="24"/>
          <w:szCs w:val="24"/>
          <w:lang w:val="ru-RU"/>
        </w:rPr>
      </w:pPr>
      <w:r w:rsidRPr="00E33058">
        <w:rPr>
          <w:rFonts w:ascii="Times New Roman" w:hAnsi="Times New Roman" w:cs="Times New Roman"/>
          <w:sz w:val="24"/>
          <w:szCs w:val="24"/>
          <w:lang w:val="ru-RU"/>
        </w:rPr>
        <w:t xml:space="preserve">За время действия программы </w:t>
      </w:r>
      <w:r w:rsidRPr="00A10700">
        <w:rPr>
          <w:rFonts w:ascii="Times New Roman" w:hAnsi="Times New Roman" w:cs="Times New Roman"/>
          <w:sz w:val="24"/>
          <w:szCs w:val="24"/>
        </w:rPr>
        <w:t>HFA</w:t>
      </w:r>
      <w:r w:rsidRPr="00E33058">
        <w:rPr>
          <w:rFonts w:ascii="Times New Roman" w:hAnsi="Times New Roman" w:cs="Times New Roman"/>
          <w:sz w:val="24"/>
          <w:szCs w:val="24"/>
          <w:lang w:val="ru-RU"/>
        </w:rPr>
        <w:t xml:space="preserve"> </w:t>
      </w:r>
      <w:r w:rsidRPr="00A10700">
        <w:rPr>
          <w:rFonts w:ascii="Times New Roman" w:hAnsi="Times New Roman" w:cs="Times New Roman"/>
          <w:sz w:val="24"/>
          <w:szCs w:val="24"/>
        </w:rPr>
        <w:t>Monitor</w:t>
      </w:r>
      <w:r w:rsidRPr="00E33058">
        <w:rPr>
          <w:rFonts w:ascii="Times New Roman" w:hAnsi="Times New Roman" w:cs="Times New Roman"/>
          <w:sz w:val="24"/>
          <w:szCs w:val="24"/>
          <w:lang w:val="ru-RU"/>
        </w:rPr>
        <w:t xml:space="preserve">, начавшейся в 2007 году, число стран, предоставляющих информацию </w:t>
      </w:r>
      <w:r w:rsidRPr="00A10700">
        <w:rPr>
          <w:rFonts w:ascii="Times New Roman" w:hAnsi="Times New Roman" w:cs="Times New Roman"/>
          <w:sz w:val="24"/>
          <w:szCs w:val="24"/>
        </w:rPr>
        <w:t xml:space="preserve">МСУОБ ООН, возросло с 60 в 2007 году до 140+ стран, которые в настоящее время проводят добровольную самостоятельную оценку прогресса в осуществлении HFA. Кроме этого, в течение четырех циклов отчетности до 2015 года HFA Monitor создал крупнейшее в мире хранилище информации о национальной политике СРБ. Его </w:t>
      </w:r>
      <w:r w:rsidRPr="00A10700">
        <w:rPr>
          <w:rFonts w:ascii="Times New Roman" w:hAnsi="Times New Roman" w:cs="Times New Roman"/>
          <w:sz w:val="24"/>
          <w:szCs w:val="24"/>
        </w:rPr>
        <w:lastRenderedPageBreak/>
        <w:t xml:space="preserve">преемник, предварительно названный Sendai Monitor, находится в стадии разработки и будет опираться на рекомендации OEIWG. </w:t>
      </w:r>
      <w:r w:rsidRPr="00601CDD">
        <w:rPr>
          <w:rFonts w:ascii="Times New Roman" w:hAnsi="Times New Roman" w:cs="Times New Roman"/>
          <w:sz w:val="24"/>
          <w:szCs w:val="24"/>
          <w:lang w:val="ru-RU"/>
        </w:rPr>
        <w:t xml:space="preserve">По состоянию на 2015 год ожидается, что в 2016-2017 годах будет создан базис, который будет способствовать отчетности о прогрессе в достижении соответствующих целей как Сендайской рамочной программы, так и </w:t>
      </w:r>
      <w:r>
        <w:rPr>
          <w:rFonts w:ascii="Times New Roman" w:hAnsi="Times New Roman" w:cs="Times New Roman"/>
          <w:sz w:val="24"/>
          <w:szCs w:val="24"/>
          <w:lang w:val="ru-RU"/>
        </w:rPr>
        <w:t>ЦУР</w:t>
      </w:r>
      <w:r w:rsidRPr="00601CDD">
        <w:rPr>
          <w:rFonts w:ascii="Times New Roman" w:hAnsi="Times New Roman" w:cs="Times New Roman"/>
          <w:sz w:val="24"/>
          <w:szCs w:val="24"/>
          <w:lang w:val="ru-RU"/>
        </w:rPr>
        <w:t>.</w:t>
      </w:r>
    </w:p>
    <w:p w14:paraId="7A5371AA"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Члены как OEIWG, так и IAEG-SDGs обратили внимание на то, что показатели, которые просто подсчитывают количество стран, не рекомендуются и вместо этого продвигаются показатели для измерения прогресса в течение определённого времени. В дополнение к совещаниям, проведенным OEIWG, а также IAEG, МСУОБ ООН предложила методологии расчета, которые позволяют на протяжении времени осуществлять мониторинг совершенствования национальных и местных стратегий в области СРБ. Эти методологии варьируются от простой количественной оценки числа этих стратегий до качественной оценки соответствия с Сендайской рамочной программой, также как и охват населения местными стратегиями.</w:t>
      </w:r>
    </w:p>
    <w:p w14:paraId="6E3C7101"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Методология</w:t>
      </w:r>
    </w:p>
    <w:p w14:paraId="1FC82315"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Метод расчета:</w:t>
      </w:r>
    </w:p>
    <w:p w14:paraId="5BF6AFDF"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 xml:space="preserve">Примечание: методология расчета нескольких показателей является очень обширной, очень длинной (около 180 страниц) и, вероятно, выходит за рамки этих метаданных. МСУОБ ООН предпочитает ссылаться на результаты Межправительственной рабочей группы открытого состава, которая предоставляет полную подробную методику по каждому показателю и субпоказателю. </w:t>
      </w:r>
    </w:p>
    <w:p w14:paraId="21C5F6A6"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Последняя версия этих методологий может быть получена по адресу:</w:t>
      </w:r>
    </w:p>
    <w:p w14:paraId="429402B7" w14:textId="77777777" w:rsidR="00E33058" w:rsidRPr="00601CDD" w:rsidRDefault="00E33058" w:rsidP="00E33058">
      <w:pPr>
        <w:jc w:val="both"/>
        <w:rPr>
          <w:rFonts w:ascii="Times New Roman" w:hAnsi="Times New Roman" w:cs="Times New Roman"/>
          <w:sz w:val="24"/>
          <w:szCs w:val="24"/>
        </w:rPr>
      </w:pPr>
      <w:hyperlink r:id="rId6" w:history="1">
        <w:r w:rsidRPr="00357F4A">
          <w:rPr>
            <w:rStyle w:val="Hyperlink"/>
            <w:rFonts w:ascii="Times New Roman" w:hAnsi="Times New Roman" w:cs="Times New Roman"/>
            <w:sz w:val="24"/>
            <w:szCs w:val="24"/>
          </w:rPr>
          <w:t>http://www.preventionweb.net/documents/oiewg/Technical%20Collection%20of%20Concept%20Notes%20on%20Indicators.pdf</w:t>
        </w:r>
      </w:hyperlink>
      <w:r w:rsidRPr="00601CDD">
        <w:rPr>
          <w:rFonts w:ascii="Times New Roman" w:hAnsi="Times New Roman" w:cs="Times New Roman"/>
          <w:sz w:val="24"/>
          <w:szCs w:val="24"/>
        </w:rPr>
        <w:t xml:space="preserve"> </w:t>
      </w:r>
    </w:p>
    <w:p w14:paraId="4338FA1A"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 xml:space="preserve">Краткое резюме: </w:t>
      </w:r>
    </w:p>
    <w:p w14:paraId="7BDF8631"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Обобщение данных из Национальных докладов о ходе работы программы Sendai Monitor</w:t>
      </w:r>
    </w:p>
    <w:p w14:paraId="492C0255" w14:textId="77777777" w:rsidR="00E33058" w:rsidRPr="00A10700" w:rsidRDefault="00E33058" w:rsidP="00E33058">
      <w:pPr>
        <w:jc w:val="both"/>
        <w:rPr>
          <w:rFonts w:ascii="Times New Roman" w:hAnsi="Times New Roman" w:cs="Times New Roman"/>
          <w:sz w:val="24"/>
          <w:szCs w:val="24"/>
        </w:rPr>
      </w:pPr>
      <w:r w:rsidRPr="00601CDD">
        <w:rPr>
          <w:rFonts w:ascii="Times New Roman" w:hAnsi="Times New Roman" w:cs="Times New Roman"/>
          <w:b/>
          <w:sz w:val="24"/>
          <w:szCs w:val="24"/>
        </w:rPr>
        <w:t>Дезагрегация</w:t>
      </w:r>
      <w:r w:rsidRPr="00A10700">
        <w:rPr>
          <w:rFonts w:ascii="Times New Roman" w:hAnsi="Times New Roman" w:cs="Times New Roman"/>
          <w:sz w:val="24"/>
          <w:szCs w:val="24"/>
        </w:rPr>
        <w:t>:</w:t>
      </w:r>
    </w:p>
    <w:p w14:paraId="38624C86"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 xml:space="preserve">По странам </w:t>
      </w:r>
    </w:p>
    <w:p w14:paraId="2E1E7BC2"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По городам (применение субнациональных административных единиц)</w:t>
      </w:r>
    </w:p>
    <w:p w14:paraId="627E9B77"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Обработка отсутствующих значений:</w:t>
      </w:r>
    </w:p>
    <w:p w14:paraId="2E1F03D7" w14:textId="77777777" w:rsidR="00E33058" w:rsidRPr="00601CDD" w:rsidRDefault="00E33058" w:rsidP="00E33058">
      <w:pPr>
        <w:pStyle w:val="ListParagraph"/>
        <w:numPr>
          <w:ilvl w:val="0"/>
          <w:numId w:val="1"/>
        </w:numPr>
        <w:jc w:val="both"/>
        <w:rPr>
          <w:rFonts w:ascii="Times New Roman" w:hAnsi="Times New Roman" w:cs="Times New Roman"/>
          <w:sz w:val="24"/>
          <w:szCs w:val="24"/>
        </w:rPr>
      </w:pPr>
      <w:r w:rsidRPr="00601CDD">
        <w:rPr>
          <w:rFonts w:ascii="Times New Roman" w:hAnsi="Times New Roman" w:cs="Times New Roman"/>
          <w:sz w:val="24"/>
          <w:szCs w:val="24"/>
        </w:rPr>
        <w:t>На уровне страны:</w:t>
      </w:r>
    </w:p>
    <w:p w14:paraId="76E32040"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lastRenderedPageBreak/>
        <w:t>В программе Sendai Monitor, которая будет проводиться в качестве добровольной самостоятельной оценки, такой как HFA Monitor, пропущенные значения и 0 или null будут считаться эквивалентными.</w:t>
      </w:r>
    </w:p>
    <w:p w14:paraId="02592C98" w14:textId="77777777" w:rsidR="00E33058" w:rsidRPr="00601CDD" w:rsidRDefault="00E33058" w:rsidP="00E33058">
      <w:pPr>
        <w:pStyle w:val="ListParagraph"/>
        <w:numPr>
          <w:ilvl w:val="0"/>
          <w:numId w:val="1"/>
        </w:numPr>
        <w:jc w:val="both"/>
        <w:rPr>
          <w:rFonts w:ascii="Times New Roman" w:hAnsi="Times New Roman" w:cs="Times New Roman"/>
          <w:sz w:val="24"/>
          <w:szCs w:val="24"/>
        </w:rPr>
      </w:pPr>
      <w:r w:rsidRPr="00601CDD">
        <w:rPr>
          <w:rFonts w:ascii="Times New Roman" w:hAnsi="Times New Roman" w:cs="Times New Roman"/>
          <w:sz w:val="24"/>
          <w:szCs w:val="24"/>
        </w:rPr>
        <w:t>На региональном и глобальном уровнях:</w:t>
      </w:r>
    </w:p>
    <w:p w14:paraId="321061B7"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Не применимо</w:t>
      </w:r>
    </w:p>
    <w:p w14:paraId="3981808D"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Региональные показатели:</w:t>
      </w:r>
    </w:p>
    <w:p w14:paraId="382D6E40"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См. раздел «Метод расчета».</w:t>
      </w:r>
    </w:p>
    <w:p w14:paraId="41EB5C99"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Они будут рассчитываться по усмотрению OEIWG как линейное среднее значение индекса, описанное в разделе «Метод расчета» или как средневзвешенное значение индекса, умноженное на население страны, разделенное на глобальное население.</w:t>
      </w:r>
    </w:p>
    <w:p w14:paraId="7D4C4121"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Источники расхождений</w:t>
      </w:r>
    </w:p>
    <w:p w14:paraId="716B903D"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Нет глобальной базы данных, собирающей информацию о политике СРБ кроме HFA Monitor и преуспевающей Sendai Monitor.</w:t>
      </w:r>
    </w:p>
    <w:p w14:paraId="46895ABD"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Источники данных</w:t>
      </w:r>
    </w:p>
    <w:p w14:paraId="1E6AD1C4"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Описание:</w:t>
      </w:r>
    </w:p>
    <w:p w14:paraId="02FDFC29"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Национальный доклад о ходе выполнения программы Sendai Monitor, представленный МСУОБ ООН.</w:t>
      </w:r>
    </w:p>
    <w:p w14:paraId="64BF6DF6"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Процесс сбора:</w:t>
      </w:r>
    </w:p>
    <w:p w14:paraId="1EEA51A2"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Официальный партнер(ы) на уровне стран представит (представят) Национальный доклад о ходе выполнения программы Sendai Monitor.</w:t>
      </w:r>
    </w:p>
    <w:p w14:paraId="1E4A8779"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Доступность данных</w:t>
      </w:r>
    </w:p>
    <w:p w14:paraId="2C3BFBB5"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Описание:</w:t>
      </w:r>
    </w:p>
    <w:p w14:paraId="143424ED"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Около 100 стран</w:t>
      </w:r>
    </w:p>
    <w:p w14:paraId="2F79473B" w14:textId="77777777" w:rsidR="00E33058" w:rsidRPr="00601CDD" w:rsidRDefault="00E33058" w:rsidP="00E33058">
      <w:pPr>
        <w:jc w:val="both"/>
        <w:rPr>
          <w:rFonts w:ascii="Times New Roman" w:hAnsi="Times New Roman" w:cs="Times New Roman"/>
          <w:sz w:val="24"/>
          <w:szCs w:val="24"/>
          <w:lang w:val="ru-RU"/>
        </w:rPr>
      </w:pPr>
      <w:r w:rsidRPr="00A10700">
        <w:rPr>
          <w:rFonts w:ascii="Times New Roman" w:hAnsi="Times New Roman" w:cs="Times New Roman"/>
          <w:sz w:val="24"/>
          <w:szCs w:val="24"/>
        </w:rPr>
        <w:t xml:space="preserve">За время действия программы HFA Monitor, начавшейся в 2007 году, число стран, предоставляющих информацию МСУОБ ООН, возросло с 60 в 2007 году до 140+ стран, которые в настоящее время проводят добровольную самостоятельную оценку прогресса в осуществлении HFA. </w:t>
      </w:r>
      <w:r w:rsidRPr="00601CDD">
        <w:rPr>
          <w:rFonts w:ascii="Times New Roman" w:hAnsi="Times New Roman" w:cs="Times New Roman"/>
          <w:sz w:val="24"/>
          <w:szCs w:val="24"/>
          <w:lang w:val="ru-RU"/>
        </w:rPr>
        <w:t xml:space="preserve">С учетом требований к стратегиям уменьшения опасности бедствий, закрепленных в отчетности по </w:t>
      </w:r>
      <w:r>
        <w:rPr>
          <w:rFonts w:ascii="Times New Roman" w:hAnsi="Times New Roman" w:cs="Times New Roman"/>
          <w:sz w:val="24"/>
          <w:szCs w:val="24"/>
          <w:lang w:val="ru-RU"/>
        </w:rPr>
        <w:t>ЦУР</w:t>
      </w:r>
      <w:r w:rsidRPr="00601CDD">
        <w:rPr>
          <w:rFonts w:ascii="Times New Roman" w:hAnsi="Times New Roman" w:cs="Times New Roman"/>
          <w:sz w:val="24"/>
          <w:szCs w:val="24"/>
          <w:lang w:val="ru-RU"/>
        </w:rPr>
        <w:t xml:space="preserve"> и целях Сендайской рамочной программы, ожидается, что к 2020 году все государства-члены сообщат о своих стратегиях в области СРБ в соответствии с рекомендациями и руководящими принципами, принятыми </w:t>
      </w:r>
      <w:r w:rsidRPr="00A10700">
        <w:rPr>
          <w:rFonts w:ascii="Times New Roman" w:hAnsi="Times New Roman" w:cs="Times New Roman"/>
          <w:sz w:val="24"/>
          <w:szCs w:val="24"/>
        </w:rPr>
        <w:t>OEIWG</w:t>
      </w:r>
      <w:r w:rsidRPr="00601CDD">
        <w:rPr>
          <w:rFonts w:ascii="Times New Roman" w:hAnsi="Times New Roman" w:cs="Times New Roman"/>
          <w:sz w:val="24"/>
          <w:szCs w:val="24"/>
          <w:lang w:val="ru-RU"/>
        </w:rPr>
        <w:t>.</w:t>
      </w:r>
    </w:p>
    <w:p w14:paraId="5AAE5F93" w14:textId="77777777" w:rsidR="00E33058" w:rsidRPr="00601CDD" w:rsidRDefault="00E33058" w:rsidP="00E33058">
      <w:pPr>
        <w:jc w:val="both"/>
        <w:rPr>
          <w:rFonts w:ascii="Times New Roman" w:hAnsi="Times New Roman" w:cs="Times New Roman"/>
          <w:b/>
          <w:sz w:val="24"/>
          <w:szCs w:val="24"/>
          <w:lang w:val="ru-RU"/>
        </w:rPr>
      </w:pPr>
      <w:r w:rsidRPr="00601CDD">
        <w:rPr>
          <w:rFonts w:ascii="Times New Roman" w:hAnsi="Times New Roman" w:cs="Times New Roman"/>
          <w:b/>
          <w:sz w:val="24"/>
          <w:szCs w:val="24"/>
          <w:lang w:val="ru-RU"/>
        </w:rPr>
        <w:t>Временные ряды:</w:t>
      </w:r>
    </w:p>
    <w:p w14:paraId="6E956CA1" w14:textId="77777777" w:rsidR="00E33058" w:rsidRPr="00601CDD" w:rsidRDefault="00E33058" w:rsidP="00E33058">
      <w:pPr>
        <w:jc w:val="both"/>
        <w:rPr>
          <w:rFonts w:ascii="Times New Roman" w:hAnsi="Times New Roman" w:cs="Times New Roman"/>
          <w:sz w:val="24"/>
          <w:szCs w:val="24"/>
          <w:lang w:val="ru-RU"/>
        </w:rPr>
      </w:pPr>
      <w:r w:rsidRPr="00601CDD">
        <w:rPr>
          <w:rFonts w:ascii="Times New Roman" w:hAnsi="Times New Roman" w:cs="Times New Roman"/>
          <w:sz w:val="24"/>
          <w:szCs w:val="24"/>
          <w:lang w:val="ru-RU"/>
        </w:rPr>
        <w:lastRenderedPageBreak/>
        <w:t xml:space="preserve">2013 и 2015: </w:t>
      </w:r>
      <w:r w:rsidRPr="00A10700">
        <w:rPr>
          <w:rFonts w:ascii="Times New Roman" w:hAnsi="Times New Roman" w:cs="Times New Roman"/>
          <w:sz w:val="24"/>
          <w:szCs w:val="24"/>
        </w:rPr>
        <w:t>HFA</w:t>
      </w:r>
      <w:r w:rsidRPr="00601CDD">
        <w:rPr>
          <w:rFonts w:ascii="Times New Roman" w:hAnsi="Times New Roman" w:cs="Times New Roman"/>
          <w:sz w:val="24"/>
          <w:szCs w:val="24"/>
          <w:lang w:val="ru-RU"/>
        </w:rPr>
        <w:t xml:space="preserve"> </w:t>
      </w:r>
      <w:r w:rsidRPr="00A10700">
        <w:rPr>
          <w:rFonts w:ascii="Times New Roman" w:hAnsi="Times New Roman" w:cs="Times New Roman"/>
          <w:sz w:val="24"/>
          <w:szCs w:val="24"/>
        </w:rPr>
        <w:t>Monitor</w:t>
      </w:r>
    </w:p>
    <w:p w14:paraId="757561B5"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Календарь</w:t>
      </w:r>
    </w:p>
    <w:p w14:paraId="33325B75"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Сбор данных:</w:t>
      </w:r>
    </w:p>
    <w:p w14:paraId="2DEB7757"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2017-2018</w:t>
      </w:r>
    </w:p>
    <w:p w14:paraId="3D4E044C"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Выпуск данных:</w:t>
      </w:r>
    </w:p>
    <w:p w14:paraId="75079A38"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Первоначальные наборы данных в 2017 году, первый полный набор данных – к 2019 году.</w:t>
      </w:r>
    </w:p>
    <w:p w14:paraId="3FB4428A"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Поставщики данных</w:t>
      </w:r>
    </w:p>
    <w:p w14:paraId="01698D11"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Наименование:</w:t>
      </w:r>
    </w:p>
    <w:p w14:paraId="49556BFD"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Координирующее ведущее учреждение, возглавляющее национальную платформу СРБ, в состав которой входят специализированные учреждения, включая национальные службы по борьбе со стихийными бедствиями, службы гражданской обороны и метеорологические службы.</w:t>
      </w:r>
    </w:p>
    <w:p w14:paraId="6D1CA632"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Описание:</w:t>
      </w:r>
    </w:p>
    <w:p w14:paraId="7F20B6EF"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Координирующее ведущее учреждение, возглавляющее национальную платформу СРБ, в состав которой входят специализированные учреждения, включая национальные службы по борьбе со стихийными бедствиями, службы гражданской обороны и метеорологические службы.</w:t>
      </w:r>
    </w:p>
    <w:p w14:paraId="2516E8E2"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Составители данных</w:t>
      </w:r>
    </w:p>
    <w:p w14:paraId="7AF0FBE4"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МСУОБ ООН (UNISDR)</w:t>
      </w:r>
    </w:p>
    <w:p w14:paraId="09FC5936"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Ссылки:</w:t>
      </w:r>
    </w:p>
    <w:p w14:paraId="30F71800"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URL:</w:t>
      </w:r>
    </w:p>
    <w:p w14:paraId="1260985C" w14:textId="77777777" w:rsidR="00E33058" w:rsidRPr="00601CDD" w:rsidRDefault="00E33058" w:rsidP="00E33058">
      <w:pPr>
        <w:jc w:val="both"/>
        <w:rPr>
          <w:rFonts w:ascii="Times New Roman" w:hAnsi="Times New Roman" w:cs="Times New Roman"/>
          <w:sz w:val="24"/>
          <w:szCs w:val="24"/>
        </w:rPr>
      </w:pPr>
      <w:hyperlink r:id="rId7" w:history="1">
        <w:r w:rsidRPr="00357F4A">
          <w:rPr>
            <w:rStyle w:val="Hyperlink"/>
            <w:rFonts w:ascii="Times New Roman" w:hAnsi="Times New Roman" w:cs="Times New Roman"/>
            <w:sz w:val="24"/>
            <w:szCs w:val="24"/>
          </w:rPr>
          <w:t>http://www.preventionweb.net/documents/oiewg/Technical%20Collection%20of%20Concept%20Notes%20on%20Indicators.pdf</w:t>
        </w:r>
      </w:hyperlink>
      <w:r w:rsidRPr="00601CDD">
        <w:rPr>
          <w:rFonts w:ascii="Times New Roman" w:hAnsi="Times New Roman" w:cs="Times New Roman"/>
          <w:sz w:val="24"/>
          <w:szCs w:val="24"/>
        </w:rPr>
        <w:t xml:space="preserve"> </w:t>
      </w:r>
    </w:p>
    <w:p w14:paraId="1EC1CB87"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Ссылки:</w:t>
      </w:r>
    </w:p>
    <w:p w14:paraId="0BA9C62C" w14:textId="77777777" w:rsidR="00E33058" w:rsidRPr="00601CDD" w:rsidRDefault="00E33058" w:rsidP="00E33058">
      <w:pPr>
        <w:jc w:val="both"/>
        <w:rPr>
          <w:rFonts w:ascii="Times New Roman" w:hAnsi="Times New Roman" w:cs="Times New Roman"/>
          <w:sz w:val="24"/>
          <w:szCs w:val="24"/>
          <w:lang w:val="ru-RU"/>
        </w:rPr>
      </w:pPr>
      <w:r w:rsidRPr="00A10700">
        <w:rPr>
          <w:rFonts w:ascii="Times New Roman" w:hAnsi="Times New Roman" w:cs="Times New Roman"/>
          <w:sz w:val="24"/>
          <w:szCs w:val="24"/>
        </w:rPr>
        <w:t>На Межправительственную рабочую группу экспертов открытого состава по показателям и терминологии, касающимся уменьшения опасности бедствий (OEIWG), Генеральной Ассамблеей ООН была возложена ответственность за разработку комплекса показателей для оценки глобального прогресса в осуществлении Сендайской рамочной программы, включая семь глобальных целей. Работа OEIWG должна быть завершена к декабрю 2016 года, а ее доклад представлен Генеральной Ассамблее для рассмотрения. IAEG</w:t>
      </w:r>
      <w:r w:rsidRPr="00601CDD">
        <w:rPr>
          <w:rFonts w:ascii="Times New Roman" w:hAnsi="Times New Roman" w:cs="Times New Roman"/>
          <w:sz w:val="24"/>
          <w:szCs w:val="24"/>
          <w:lang w:val="ru-RU"/>
        </w:rPr>
        <w:t>-</w:t>
      </w:r>
      <w:r w:rsidRPr="00A10700">
        <w:rPr>
          <w:rFonts w:ascii="Times New Roman" w:hAnsi="Times New Roman" w:cs="Times New Roman"/>
          <w:sz w:val="24"/>
          <w:szCs w:val="24"/>
        </w:rPr>
        <w:t>SDGs</w:t>
      </w:r>
      <w:r w:rsidRPr="00601CDD">
        <w:rPr>
          <w:rFonts w:ascii="Times New Roman" w:hAnsi="Times New Roman" w:cs="Times New Roman"/>
          <w:sz w:val="24"/>
          <w:szCs w:val="24"/>
          <w:lang w:val="ru-RU"/>
        </w:rPr>
        <w:t xml:space="preserve"> и Статистическая комиссия ООН официально признают роль </w:t>
      </w:r>
      <w:r w:rsidRPr="00A10700">
        <w:rPr>
          <w:rFonts w:ascii="Times New Roman" w:hAnsi="Times New Roman" w:cs="Times New Roman"/>
          <w:sz w:val="24"/>
          <w:szCs w:val="24"/>
        </w:rPr>
        <w:t>OEIWG</w:t>
      </w:r>
      <w:r w:rsidRPr="00601CDD">
        <w:rPr>
          <w:rFonts w:ascii="Times New Roman" w:hAnsi="Times New Roman" w:cs="Times New Roman"/>
          <w:sz w:val="24"/>
          <w:szCs w:val="24"/>
          <w:lang w:val="ru-RU"/>
        </w:rPr>
        <w:t xml:space="preserve"> и </w:t>
      </w:r>
      <w:r w:rsidRPr="00601CDD">
        <w:rPr>
          <w:rFonts w:ascii="Times New Roman" w:hAnsi="Times New Roman" w:cs="Times New Roman"/>
          <w:sz w:val="24"/>
          <w:szCs w:val="24"/>
          <w:lang w:val="ru-RU"/>
        </w:rPr>
        <w:lastRenderedPageBreak/>
        <w:t xml:space="preserve">возложили на эту рабочую группу ответственность за дальнейшее совершенствование и разработку методологии определения показателей </w:t>
      </w:r>
      <w:r>
        <w:rPr>
          <w:rFonts w:ascii="Times New Roman" w:hAnsi="Times New Roman" w:cs="Times New Roman"/>
          <w:sz w:val="24"/>
          <w:szCs w:val="24"/>
          <w:lang w:val="ru-RU"/>
        </w:rPr>
        <w:t>ЦУР</w:t>
      </w:r>
      <w:r w:rsidRPr="00601CDD">
        <w:rPr>
          <w:rFonts w:ascii="Times New Roman" w:hAnsi="Times New Roman" w:cs="Times New Roman"/>
          <w:sz w:val="24"/>
          <w:szCs w:val="24"/>
          <w:lang w:val="ru-RU"/>
        </w:rPr>
        <w:t>, связанных с бедствиями.</w:t>
      </w:r>
    </w:p>
    <w:p w14:paraId="0B244E72" w14:textId="77777777" w:rsidR="00E33058" w:rsidRPr="00601CDD" w:rsidRDefault="00E33058" w:rsidP="00E33058">
      <w:pPr>
        <w:jc w:val="both"/>
        <w:rPr>
          <w:rFonts w:ascii="Times New Roman" w:hAnsi="Times New Roman" w:cs="Times New Roman"/>
          <w:sz w:val="24"/>
          <w:szCs w:val="24"/>
          <w:lang w:val="ru-RU"/>
        </w:rPr>
      </w:pPr>
      <w:hyperlink r:id="rId8" w:history="1">
        <w:r w:rsidRPr="00357F4A">
          <w:rPr>
            <w:rStyle w:val="Hyperlink"/>
            <w:rFonts w:ascii="Times New Roman" w:hAnsi="Times New Roman" w:cs="Times New Roman"/>
            <w:sz w:val="24"/>
            <w:szCs w:val="24"/>
          </w:rPr>
          <w:t>http</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www</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preventionweb</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net</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drr</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framework</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open</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ended</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working</w:t>
        </w:r>
        <w:r w:rsidRPr="00601CDD">
          <w:rPr>
            <w:rStyle w:val="Hyperlink"/>
            <w:rFonts w:ascii="Times New Roman" w:hAnsi="Times New Roman" w:cs="Times New Roman"/>
            <w:sz w:val="24"/>
            <w:szCs w:val="24"/>
            <w:lang w:val="ru-RU"/>
          </w:rPr>
          <w:t>-</w:t>
        </w:r>
        <w:r w:rsidRPr="00357F4A">
          <w:rPr>
            <w:rStyle w:val="Hyperlink"/>
            <w:rFonts w:ascii="Times New Roman" w:hAnsi="Times New Roman" w:cs="Times New Roman"/>
            <w:sz w:val="24"/>
            <w:szCs w:val="24"/>
          </w:rPr>
          <w:t>group</w:t>
        </w:r>
        <w:r w:rsidRPr="00601CDD">
          <w:rPr>
            <w:rStyle w:val="Hyperlink"/>
            <w:rFonts w:ascii="Times New Roman" w:hAnsi="Times New Roman" w:cs="Times New Roman"/>
            <w:sz w:val="24"/>
            <w:szCs w:val="24"/>
            <w:lang w:val="ru-RU"/>
          </w:rPr>
          <w:t>/</w:t>
        </w:r>
      </w:hyperlink>
      <w:r>
        <w:rPr>
          <w:rFonts w:ascii="Times New Roman" w:hAnsi="Times New Roman" w:cs="Times New Roman"/>
          <w:sz w:val="24"/>
          <w:szCs w:val="24"/>
          <w:lang w:val="ru-RU"/>
        </w:rPr>
        <w:t xml:space="preserve"> </w:t>
      </w:r>
    </w:p>
    <w:p w14:paraId="0AE21155"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Последняя версия документов находится по адресу:</w:t>
      </w:r>
    </w:p>
    <w:p w14:paraId="1DBF99E9" w14:textId="77777777" w:rsidR="00E33058" w:rsidRPr="00601CDD" w:rsidRDefault="00E33058" w:rsidP="00E33058">
      <w:pPr>
        <w:jc w:val="both"/>
        <w:rPr>
          <w:rFonts w:ascii="Times New Roman" w:hAnsi="Times New Roman" w:cs="Times New Roman"/>
          <w:sz w:val="24"/>
          <w:szCs w:val="24"/>
        </w:rPr>
      </w:pPr>
      <w:hyperlink r:id="rId9" w:history="1">
        <w:r w:rsidRPr="00357F4A">
          <w:rPr>
            <w:rStyle w:val="Hyperlink"/>
            <w:rFonts w:ascii="Times New Roman" w:hAnsi="Times New Roman" w:cs="Times New Roman"/>
            <w:sz w:val="24"/>
            <w:szCs w:val="24"/>
          </w:rPr>
          <w:t>http://www.preventionweb.net/drr-framework/open-ended-working-group/sessional-intersessional-documents</w:t>
        </w:r>
      </w:hyperlink>
      <w:r w:rsidRPr="00601CDD">
        <w:rPr>
          <w:rFonts w:ascii="Times New Roman" w:hAnsi="Times New Roman" w:cs="Times New Roman"/>
          <w:sz w:val="24"/>
          <w:szCs w:val="24"/>
        </w:rPr>
        <w:t xml:space="preserve"> </w:t>
      </w:r>
    </w:p>
    <w:p w14:paraId="5A8043AE" w14:textId="77777777" w:rsidR="00E33058" w:rsidRPr="00601CDD" w:rsidRDefault="00E33058" w:rsidP="00E33058">
      <w:pPr>
        <w:jc w:val="both"/>
        <w:rPr>
          <w:rFonts w:ascii="Times New Roman" w:hAnsi="Times New Roman" w:cs="Times New Roman"/>
          <w:b/>
          <w:sz w:val="24"/>
          <w:szCs w:val="24"/>
        </w:rPr>
      </w:pPr>
      <w:r w:rsidRPr="00601CDD">
        <w:rPr>
          <w:rFonts w:ascii="Times New Roman" w:hAnsi="Times New Roman" w:cs="Times New Roman"/>
          <w:b/>
          <w:sz w:val="24"/>
          <w:szCs w:val="24"/>
        </w:rPr>
        <w:t>Связанные показатели:</w:t>
      </w:r>
    </w:p>
    <w:p w14:paraId="05B1415B" w14:textId="77777777" w:rsidR="00E33058" w:rsidRPr="00A10700" w:rsidRDefault="00E33058" w:rsidP="00E33058">
      <w:pPr>
        <w:jc w:val="both"/>
        <w:rPr>
          <w:rFonts w:ascii="Times New Roman" w:hAnsi="Times New Roman" w:cs="Times New Roman"/>
          <w:sz w:val="24"/>
          <w:szCs w:val="24"/>
        </w:rPr>
      </w:pPr>
      <w:r w:rsidRPr="00A10700">
        <w:rPr>
          <w:rFonts w:ascii="Times New Roman" w:hAnsi="Times New Roman" w:cs="Times New Roman"/>
          <w:sz w:val="24"/>
          <w:szCs w:val="24"/>
        </w:rPr>
        <w:t>1.5; 11.5; 11.b; 13.1; 2.4; 3.6; 3.9; 3.d; 4.a; 6.6; 9.1; 9.a; 11.1; 11.3; 11.c; 13.2; 13.3; 13.a; 13.b; 14.2; 15.1; 15.2; 15.3; 15.9.</w:t>
      </w:r>
    </w:p>
    <w:p w14:paraId="7C24FD0C" w14:textId="77777777" w:rsidR="00E33058" w:rsidRPr="00A10700" w:rsidRDefault="00E33058" w:rsidP="00E33058">
      <w:pPr>
        <w:jc w:val="both"/>
        <w:rPr>
          <w:rFonts w:ascii="Times New Roman" w:hAnsi="Times New Roman" w:cs="Times New Roman"/>
          <w:sz w:val="24"/>
          <w:szCs w:val="24"/>
        </w:rPr>
      </w:pPr>
    </w:p>
    <w:p w14:paraId="320CB005" w14:textId="77777777" w:rsidR="00E33058" w:rsidRPr="00A10700" w:rsidRDefault="00E33058" w:rsidP="00E33058">
      <w:pPr>
        <w:jc w:val="both"/>
        <w:rPr>
          <w:rFonts w:ascii="Times New Roman" w:hAnsi="Times New Roman" w:cs="Times New Roman"/>
          <w:sz w:val="24"/>
          <w:szCs w:val="24"/>
        </w:rPr>
      </w:pPr>
    </w:p>
    <w:p w14:paraId="1E6FFE35" w14:textId="77777777" w:rsidR="00A10700" w:rsidRPr="00E33058" w:rsidRDefault="00A10700" w:rsidP="00E33058">
      <w:bookmarkStart w:id="0" w:name="_GoBack"/>
      <w:bookmarkEnd w:id="0"/>
    </w:p>
    <w:sectPr w:rsidR="00A10700" w:rsidRPr="00E3305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ACF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3563"/>
    <w:multiLevelType w:val="hybridMultilevel"/>
    <w:tmpl w:val="FEDC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3513C6"/>
    <w:rsid w:val="002671D7"/>
    <w:rsid w:val="00601CDD"/>
    <w:rsid w:val="00A10700"/>
    <w:rsid w:val="00D87259"/>
    <w:rsid w:val="00E33058"/>
    <w:rsid w:val="0D5D3050"/>
    <w:rsid w:val="12545769"/>
    <w:rsid w:val="21CD1B74"/>
    <w:rsid w:val="2BD36DED"/>
    <w:rsid w:val="5933023B"/>
    <w:rsid w:val="6A5201A0"/>
    <w:rsid w:val="6E60579C"/>
    <w:rsid w:val="6E867F83"/>
    <w:rsid w:val="7D35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56ACB"/>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 w:type="character" w:styleId="Hyperlink">
    <w:name w:val="Hyperlink"/>
    <w:basedOn w:val="DefaultParagraphFont"/>
    <w:rPr>
      <w:color w:val="0000FF"/>
      <w:u w:val="single"/>
    </w:rPr>
  </w:style>
  <w:style w:type="paragraph" w:customStyle="1" w:styleId="a">
    <w:name w:val="Текстовый блок"/>
    <w:pPr>
      <w:framePr w:wrap="around" w:hAnchor="text"/>
      <w:spacing w:after="0" w:line="240" w:lineRule="auto"/>
    </w:pPr>
    <w:rPr>
      <w:rFonts w:ascii="Helvetica Neue" w:eastAsia="Arial Unicode MS" w:hAnsi="Helvetica Neue" w:cs="Arial Unicode MS"/>
      <w:color w:val="000000"/>
      <w:sz w:val="22"/>
      <w:szCs w:val="22"/>
    </w:rPr>
  </w:style>
  <w:style w:type="paragraph" w:styleId="ListParagraph">
    <w:name w:val="List Paragraph"/>
    <w:basedOn w:val="Normal"/>
    <w:uiPriority w:val="99"/>
    <w:unhideWhenUsed/>
    <w:rsid w:val="00601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eventionweb.net/drr-framework/open-ended-working-group/" TargetMode="External"/><Relationship Id="rId3" Type="http://schemas.openxmlformats.org/officeDocument/2006/relationships/styles" Target="styles.xml"/><Relationship Id="rId7" Type="http://schemas.openxmlformats.org/officeDocument/2006/relationships/hyperlink" Target="http://www.preventionweb.net/documents/oiewg/Technical%20Collection%20of%20Concept%20Notes%20on%20Indicator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ventionweb.net/documents/oiewg/Technical%20Collection%20of%20Concept%20Notes%20on%20Indicator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ventionweb.net/drr-framework/open-ended-working-group/sessional-intersessional-documen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dc:creator>
  <cp:lastModifiedBy>Microsoft Office User</cp:lastModifiedBy>
  <cp:revision>4</cp:revision>
  <dcterms:created xsi:type="dcterms:W3CDTF">2018-02-15T11:11:00Z</dcterms:created>
  <dcterms:modified xsi:type="dcterms:W3CDTF">2021-08-18T13:45:00Z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