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4DB9" w:rsidRPr="00007D12" w:rsidRDefault="00D84DB9" w:rsidP="00D84DB9">
      <w:pPr>
        <w:rPr>
          <w:rFonts w:cs="Times New Roman"/>
          <w:sz w:val="24"/>
          <w:szCs w:val="24"/>
        </w:rPr>
      </w:pPr>
      <w:r w:rsidRPr="00007D12">
        <w:rPr>
          <w:rFonts w:eastAsia="Times New Roman" w:cs="Times New Roman"/>
          <w:b/>
          <w:sz w:val="24"/>
          <w:szCs w:val="24"/>
        </w:rPr>
        <w:t>Цель 1. Повсеместная ликвидация нищеты во всех ее формах</w:t>
      </w:r>
      <w:r w:rsidRPr="00007D12">
        <w:rPr>
          <w:rFonts w:cs="Times New Roman"/>
          <w:sz w:val="24"/>
          <w:szCs w:val="24"/>
        </w:rPr>
        <w:t xml:space="preserve"> </w:t>
      </w:r>
    </w:p>
    <w:p w:rsidR="00D84DB9" w:rsidRPr="003B0F55" w:rsidRDefault="00D84DB9" w:rsidP="00D84DB9">
      <w:pPr>
        <w:rPr>
          <w:rFonts w:cs="Times New Roman"/>
          <w:b/>
          <w:sz w:val="24"/>
          <w:szCs w:val="24"/>
        </w:rPr>
      </w:pPr>
      <w:r w:rsidRPr="003B0F55">
        <w:rPr>
          <w:rFonts w:eastAsia="Times New Roman" w:cs="Times New Roman"/>
          <w:b/>
          <w:sz w:val="24"/>
          <w:szCs w:val="24"/>
        </w:rPr>
        <w:t>1.5 К 2030 году повысить жизнестойкость малоимущих и лиц, находящихся в уязвимом положении, и уменьшить их незащищенность и уязвимость перед вызванными изменением климата экстремальными явлениями и другими экономическими, социальными и экологическими потрясениями и бедствиями</w:t>
      </w:r>
      <w:r w:rsidRPr="003B0F55">
        <w:rPr>
          <w:rFonts w:cs="Times New Roman"/>
          <w:b/>
          <w:sz w:val="24"/>
          <w:szCs w:val="24"/>
        </w:rPr>
        <w:t xml:space="preserve"> </w:t>
      </w:r>
    </w:p>
    <w:p w:rsidR="00D84DB9" w:rsidRPr="003B0F55" w:rsidRDefault="00D84DB9" w:rsidP="00D84DB9">
      <w:pPr>
        <w:rPr>
          <w:rFonts w:cs="Times New Roman"/>
          <w:b/>
          <w:sz w:val="24"/>
          <w:szCs w:val="24"/>
        </w:rPr>
      </w:pPr>
      <w:r w:rsidRPr="003B0F55">
        <w:rPr>
          <w:rFonts w:cs="Times New Roman"/>
          <w:b/>
          <w:sz w:val="24"/>
          <w:szCs w:val="24"/>
        </w:rPr>
        <w:t>1.5.2 Прямые экономические потери от бедствий в процентном соотношении к мировому валовому внутреннему продукту (ВВП).</w:t>
      </w:r>
    </w:p>
    <w:p w:rsidR="00D84DB9" w:rsidRPr="0022621D" w:rsidRDefault="00D84DB9" w:rsidP="00D84DB9">
      <w:pPr>
        <w:rPr>
          <w:rFonts w:cs="Times New Roman"/>
          <w:b/>
          <w:sz w:val="24"/>
          <w:szCs w:val="24"/>
        </w:rPr>
      </w:pPr>
      <w:r w:rsidRPr="0022621D">
        <w:rPr>
          <w:rFonts w:cs="Times New Roman"/>
          <w:b/>
          <w:sz w:val="24"/>
          <w:szCs w:val="24"/>
        </w:rPr>
        <w:t>Институциональная информация</w:t>
      </w:r>
    </w:p>
    <w:p w:rsidR="00D84DB9" w:rsidRPr="0022621D" w:rsidRDefault="00D84DB9" w:rsidP="00D84DB9">
      <w:pPr>
        <w:rPr>
          <w:rFonts w:cs="Times New Roman"/>
          <w:sz w:val="24"/>
          <w:szCs w:val="24"/>
        </w:rPr>
      </w:pPr>
      <w:r w:rsidRPr="0022621D">
        <w:rPr>
          <w:rFonts w:cs="Times New Roman"/>
          <w:sz w:val="24"/>
          <w:szCs w:val="24"/>
        </w:rPr>
        <w:t>Организация(и):</w:t>
      </w:r>
    </w:p>
    <w:p w:rsidR="00D84DB9" w:rsidRPr="00007D12" w:rsidRDefault="00D84DB9" w:rsidP="00D84DB9">
      <w:pPr>
        <w:rPr>
          <w:rFonts w:cs="Times New Roman"/>
          <w:sz w:val="24"/>
          <w:szCs w:val="24"/>
        </w:rPr>
      </w:pPr>
      <w:r w:rsidRPr="00007D12">
        <w:rPr>
          <w:rFonts w:cs="Times New Roman"/>
          <w:sz w:val="24"/>
          <w:szCs w:val="24"/>
        </w:rPr>
        <w:t xml:space="preserve">Управление Организации Объединенных Наций по уменьшению опасности бедствий (МСУОБ ООН) </w:t>
      </w:r>
    </w:p>
    <w:p w:rsidR="00D84DB9" w:rsidRPr="0022621D" w:rsidRDefault="00D84DB9" w:rsidP="00D84DB9">
      <w:pPr>
        <w:rPr>
          <w:rFonts w:cs="Times New Roman"/>
          <w:b/>
          <w:sz w:val="24"/>
          <w:szCs w:val="24"/>
        </w:rPr>
      </w:pPr>
      <w:r w:rsidRPr="0022621D">
        <w:rPr>
          <w:rFonts w:cs="Times New Roman"/>
          <w:b/>
          <w:sz w:val="24"/>
          <w:szCs w:val="24"/>
        </w:rPr>
        <w:t>Понятия и определения</w:t>
      </w:r>
    </w:p>
    <w:p w:rsidR="00D84DB9" w:rsidRPr="0022621D" w:rsidRDefault="00D84DB9" w:rsidP="00D84DB9">
      <w:pPr>
        <w:rPr>
          <w:rFonts w:cs="Times New Roman"/>
          <w:sz w:val="24"/>
          <w:szCs w:val="24"/>
        </w:rPr>
      </w:pPr>
      <w:r w:rsidRPr="0022621D">
        <w:rPr>
          <w:rFonts w:cs="Times New Roman"/>
          <w:sz w:val="24"/>
          <w:szCs w:val="24"/>
        </w:rPr>
        <w:t>Определение:</w:t>
      </w:r>
    </w:p>
    <w:p w:rsidR="00D84DB9" w:rsidRPr="00007D12" w:rsidRDefault="00D84DB9" w:rsidP="00D84DB9">
      <w:pPr>
        <w:rPr>
          <w:rFonts w:cs="Times New Roman"/>
          <w:sz w:val="24"/>
          <w:szCs w:val="24"/>
        </w:rPr>
      </w:pPr>
      <w:r w:rsidRPr="00007D12">
        <w:rPr>
          <w:rFonts w:cs="Times New Roman"/>
          <w:sz w:val="24"/>
          <w:szCs w:val="24"/>
        </w:rPr>
        <w:t>Прямые экономические потери: денежная стоимость полного или частичного уничтожения физических активов, существующих в пострадавшем районе. Прямые экономические потери почти эквивалентны физическому ущербу.</w:t>
      </w:r>
    </w:p>
    <w:p w:rsidR="00D84DB9" w:rsidRPr="00007D12" w:rsidRDefault="00D84DB9" w:rsidP="00D84DB9">
      <w:pPr>
        <w:rPr>
          <w:rFonts w:cs="Times New Roman"/>
          <w:sz w:val="24"/>
          <w:szCs w:val="24"/>
        </w:rPr>
      </w:pPr>
      <w:r w:rsidRPr="00007D12">
        <w:rPr>
          <w:rFonts w:cs="Times New Roman"/>
          <w:sz w:val="24"/>
          <w:szCs w:val="24"/>
        </w:rPr>
        <w:t>[</w:t>
      </w:r>
      <w:r w:rsidRPr="00007D12">
        <w:rPr>
          <w:rFonts w:cs="Times New Roman"/>
          <w:sz w:val="24"/>
          <w:szCs w:val="24"/>
          <w:lang w:val="en-US"/>
        </w:rPr>
        <w:t>a</w:t>
      </w:r>
      <w:r w:rsidRPr="00007D12">
        <w:rPr>
          <w:rFonts w:cs="Times New Roman"/>
          <w:sz w:val="24"/>
          <w:szCs w:val="24"/>
        </w:rPr>
        <w:t xml:space="preserve">] Межправительственная рабочая группа экспертов открытого состава по показателям и терминологии, связанным с уменьшением опасности бедствий, созданная Генеральной Ассамблеей (резолюция 69/284), разрабатывает набор показателей для оценки глобального прогресса в осуществлении </w:t>
      </w:r>
      <w:proofErr w:type="spellStart"/>
      <w:r w:rsidRPr="00007D12">
        <w:rPr>
          <w:rFonts w:cs="Times New Roman"/>
          <w:sz w:val="24"/>
          <w:szCs w:val="24"/>
        </w:rPr>
        <w:t>Сендайской</w:t>
      </w:r>
      <w:proofErr w:type="spellEnd"/>
      <w:r w:rsidRPr="00007D12">
        <w:rPr>
          <w:rFonts w:cs="Times New Roman"/>
          <w:sz w:val="24"/>
          <w:szCs w:val="24"/>
        </w:rPr>
        <w:t xml:space="preserve"> рамочной программы по снижению риска бедствий. Эти индикаторы в конечном итоге будут отражать соглашения по показателям </w:t>
      </w:r>
      <w:proofErr w:type="spellStart"/>
      <w:r w:rsidRPr="00007D12">
        <w:rPr>
          <w:rFonts w:cs="Times New Roman"/>
          <w:sz w:val="24"/>
          <w:szCs w:val="24"/>
        </w:rPr>
        <w:t>Сендайской</w:t>
      </w:r>
      <w:proofErr w:type="spellEnd"/>
      <w:r w:rsidRPr="00007D12">
        <w:rPr>
          <w:rFonts w:cs="Times New Roman"/>
          <w:sz w:val="24"/>
          <w:szCs w:val="24"/>
        </w:rPr>
        <w:t xml:space="preserve"> рамочной программы по снижению риска бедствий.</w:t>
      </w:r>
    </w:p>
    <w:p w:rsidR="00D84DB9" w:rsidRPr="0022621D" w:rsidRDefault="00D84DB9" w:rsidP="00D84DB9">
      <w:pPr>
        <w:rPr>
          <w:rFonts w:cs="Times New Roman"/>
          <w:sz w:val="24"/>
          <w:szCs w:val="24"/>
        </w:rPr>
      </w:pPr>
      <w:r w:rsidRPr="0022621D">
        <w:rPr>
          <w:rFonts w:cs="Times New Roman"/>
          <w:sz w:val="24"/>
          <w:szCs w:val="24"/>
        </w:rPr>
        <w:t>Обоснование:</w:t>
      </w:r>
    </w:p>
    <w:p w:rsidR="00D84DB9" w:rsidRPr="00007D12" w:rsidRDefault="00D84DB9" w:rsidP="00D84DB9">
      <w:pPr>
        <w:rPr>
          <w:rFonts w:cs="Times New Roman"/>
          <w:sz w:val="24"/>
          <w:szCs w:val="24"/>
        </w:rPr>
      </w:pPr>
      <w:r w:rsidRPr="00007D12">
        <w:rPr>
          <w:rFonts w:cs="Times New Roman"/>
          <w:sz w:val="24"/>
          <w:szCs w:val="24"/>
        </w:rPr>
        <w:t>Данные о потерях в результате стихийных бедствий существенно зависят от крупномасштабных катастрофических событий, которые представляют собой исключение. МСУОБ ООН рекомендует странам сообщать данные о таких событиях, чтобы иметь возможность проводить анализ как с включением, так и исключением катастрофических событий, представляющих собой  исключения.</w:t>
      </w:r>
    </w:p>
    <w:p w:rsidR="00D84DB9" w:rsidRPr="00007D12" w:rsidRDefault="00D84DB9" w:rsidP="00D84DB9">
      <w:pPr>
        <w:rPr>
          <w:rFonts w:cs="Times New Roman"/>
          <w:b/>
          <w:sz w:val="24"/>
          <w:szCs w:val="24"/>
        </w:rPr>
      </w:pPr>
      <w:r w:rsidRPr="00007D12">
        <w:rPr>
          <w:rFonts w:cs="Times New Roman"/>
          <w:b/>
          <w:sz w:val="24"/>
          <w:szCs w:val="24"/>
        </w:rPr>
        <w:t>Комментарии и ограничения:</w:t>
      </w:r>
    </w:p>
    <w:p w:rsidR="00D84DB9" w:rsidRPr="00007D12" w:rsidRDefault="00D84DB9" w:rsidP="00D84DB9">
      <w:pPr>
        <w:rPr>
          <w:rFonts w:cs="Times New Roman"/>
          <w:sz w:val="24"/>
          <w:szCs w:val="24"/>
        </w:rPr>
      </w:pPr>
      <w:r w:rsidRPr="00007D12">
        <w:rPr>
          <w:rFonts w:cs="Times New Roman"/>
          <w:sz w:val="24"/>
          <w:szCs w:val="24"/>
        </w:rPr>
        <w:t>Не каждая страна имеет сопоставимую национальную базу данных о ущербе от стихийных бедствий, которая согласуется с этими руководящими принципами (хотя нынешний охват превышает 89 стран). Поэтому к 2020 году ожидается, что все страны будут создавать / корректировать национальные базы данных об ущербе от стихийных бедствий в соответствии с рекомендациями и руководящими принципами, разработанными Межправительственной рабочей группой экспертов открытого состава по показателям и терминологии, касающихся уменьшения опасности бедствий (OEIWG).</w:t>
      </w:r>
    </w:p>
    <w:p w:rsidR="00D84DB9" w:rsidRPr="00007D12" w:rsidRDefault="00D84DB9" w:rsidP="00D84DB9">
      <w:pPr>
        <w:rPr>
          <w:rFonts w:cs="Times New Roman"/>
          <w:b/>
          <w:sz w:val="24"/>
          <w:szCs w:val="24"/>
        </w:rPr>
      </w:pPr>
      <w:r w:rsidRPr="00007D12">
        <w:rPr>
          <w:rFonts w:cs="Times New Roman"/>
          <w:b/>
          <w:sz w:val="24"/>
          <w:szCs w:val="24"/>
        </w:rPr>
        <w:t>Методология</w:t>
      </w:r>
    </w:p>
    <w:p w:rsidR="00D84DB9" w:rsidRPr="00007D12" w:rsidRDefault="00D84DB9" w:rsidP="00D84DB9">
      <w:pPr>
        <w:rPr>
          <w:rFonts w:cs="Times New Roman"/>
          <w:sz w:val="24"/>
          <w:szCs w:val="24"/>
        </w:rPr>
      </w:pPr>
      <w:r w:rsidRPr="00007D12">
        <w:rPr>
          <w:rFonts w:cs="Times New Roman"/>
          <w:sz w:val="24"/>
          <w:szCs w:val="24"/>
        </w:rPr>
        <w:t>Мето</w:t>
      </w:r>
      <w:r>
        <w:rPr>
          <w:rFonts w:cs="Times New Roman"/>
          <w:sz w:val="24"/>
          <w:szCs w:val="24"/>
        </w:rPr>
        <w:t>д</w:t>
      </w:r>
      <w:r w:rsidRPr="00007D12">
        <w:rPr>
          <w:rFonts w:cs="Times New Roman"/>
          <w:sz w:val="24"/>
          <w:szCs w:val="24"/>
        </w:rPr>
        <w:t xml:space="preserve"> расчета:</w:t>
      </w:r>
    </w:p>
    <w:p w:rsidR="00D84DB9" w:rsidRPr="00007D12" w:rsidRDefault="00D84DB9" w:rsidP="00D84DB9">
      <w:pPr>
        <w:rPr>
          <w:rFonts w:cs="Times New Roman"/>
          <w:sz w:val="24"/>
          <w:szCs w:val="24"/>
        </w:rPr>
      </w:pPr>
      <w:r w:rsidRPr="00007D12">
        <w:rPr>
          <w:rFonts w:cs="Times New Roman"/>
          <w:sz w:val="24"/>
          <w:szCs w:val="24"/>
        </w:rPr>
        <w:t xml:space="preserve">Примечание: Методология вычислений для нескольких индикаторов является весьма всеобъемлющей, значительной (около 180 страниц) и, вероятно, выходит за рамки этих метаданных. Международная стратегия Организации Объединенных Наций по уменьшению опасности бедствий (МСУОБ) предпочитает ссылаться на руководящие </w:t>
      </w:r>
      <w:r w:rsidRPr="00007D12">
        <w:rPr>
          <w:rFonts w:cs="Times New Roman"/>
          <w:sz w:val="24"/>
          <w:szCs w:val="24"/>
        </w:rPr>
        <w:lastRenderedPageBreak/>
        <w:t xml:space="preserve">положения Межправительственной рабочей группы открытого состава, которая предоставляет полную подробную методологию для каждого показателя и </w:t>
      </w:r>
      <w:proofErr w:type="spellStart"/>
      <w:r w:rsidRPr="00007D12">
        <w:rPr>
          <w:rFonts w:cs="Times New Roman"/>
          <w:sz w:val="24"/>
          <w:szCs w:val="24"/>
        </w:rPr>
        <w:t>подпоказателя</w:t>
      </w:r>
      <w:proofErr w:type="spellEnd"/>
      <w:r w:rsidRPr="00007D12">
        <w:rPr>
          <w:rFonts w:cs="Times New Roman"/>
          <w:sz w:val="24"/>
          <w:szCs w:val="24"/>
        </w:rPr>
        <w:t>.</w:t>
      </w:r>
    </w:p>
    <w:p w:rsidR="00D84DB9" w:rsidRPr="00007D12" w:rsidRDefault="00D84DB9" w:rsidP="00D84DB9">
      <w:pPr>
        <w:rPr>
          <w:rFonts w:cs="Times New Roman"/>
          <w:sz w:val="24"/>
          <w:szCs w:val="24"/>
        </w:rPr>
      </w:pPr>
      <w:r w:rsidRPr="00007D12">
        <w:rPr>
          <w:rFonts w:cs="Times New Roman"/>
          <w:sz w:val="24"/>
          <w:szCs w:val="24"/>
        </w:rPr>
        <w:t>Последняя версия этих методологий может быть получена по адресу:</w:t>
      </w:r>
    </w:p>
    <w:p w:rsidR="00D84DB9" w:rsidRPr="00007D12" w:rsidRDefault="00D84DB9" w:rsidP="00D84DB9">
      <w:pPr>
        <w:rPr>
          <w:rFonts w:cs="Times New Roman"/>
          <w:sz w:val="24"/>
          <w:szCs w:val="24"/>
        </w:rPr>
      </w:pPr>
      <w:hyperlink r:id="rId4" w:history="1">
        <w:r w:rsidRPr="00007D12">
          <w:rPr>
            <w:rStyle w:val="Hyperlink"/>
            <w:rFonts w:cs="Times New Roman"/>
            <w:color w:val="auto"/>
            <w:sz w:val="24"/>
            <w:szCs w:val="24"/>
          </w:rPr>
          <w:t>http://www.preventionweb.net/documents/oiewg/Technical%20Collection%20of%20Concept%20Notes%20on%20Indicators.pdf</w:t>
        </w:r>
      </w:hyperlink>
    </w:p>
    <w:p w:rsidR="00D84DB9" w:rsidRPr="00007D12" w:rsidRDefault="00D84DB9" w:rsidP="00D84DB9">
      <w:pPr>
        <w:rPr>
          <w:rFonts w:cs="Times New Roman"/>
          <w:b/>
          <w:sz w:val="24"/>
          <w:szCs w:val="24"/>
        </w:rPr>
      </w:pPr>
      <w:r w:rsidRPr="00007D12">
        <w:rPr>
          <w:rFonts w:cs="Times New Roman"/>
          <w:b/>
          <w:sz w:val="24"/>
          <w:szCs w:val="24"/>
        </w:rPr>
        <w:t>Краткое резюме:</w:t>
      </w:r>
    </w:p>
    <w:p w:rsidR="00D84DB9" w:rsidRPr="00007D12" w:rsidRDefault="00D84DB9" w:rsidP="00D84DB9">
      <w:pPr>
        <w:rPr>
          <w:rFonts w:cs="Times New Roman"/>
          <w:sz w:val="24"/>
          <w:szCs w:val="24"/>
        </w:rPr>
      </w:pPr>
      <w:r w:rsidRPr="00007D12">
        <w:rPr>
          <w:rFonts w:cs="Times New Roman"/>
          <w:sz w:val="24"/>
          <w:szCs w:val="24"/>
        </w:rPr>
        <w:t>В оригинальных национальных базах данных по потерям от бедствий обычно регистрируется стоимость физического ущерба (потеря единицы жилья, потеря инфраструктуры и т. д.), которая нуждается в преобразовании в денежную оценку в соответствии с методологией с методологией МСУОБ ООН. Преобразованное значение в глобальном выражении делится на мировой ВВП (с поправкой на инфляцию, в постоянных ценах долл. США), рассчитанный на основе Показателей Развития Всемирного банка.</w:t>
      </w:r>
    </w:p>
    <w:p w:rsidR="00D84DB9" w:rsidRPr="00007D12" w:rsidRDefault="00D84DB9" w:rsidP="00D84DB9">
      <w:pPr>
        <w:rPr>
          <w:rFonts w:cs="Times New Roman"/>
          <w:b/>
          <w:sz w:val="24"/>
          <w:szCs w:val="24"/>
        </w:rPr>
      </w:pPr>
      <w:proofErr w:type="spellStart"/>
      <w:r>
        <w:rPr>
          <w:rFonts w:cs="Times New Roman"/>
          <w:b/>
          <w:sz w:val="24"/>
          <w:szCs w:val="24"/>
        </w:rPr>
        <w:t>Дезагрегация</w:t>
      </w:r>
      <w:proofErr w:type="spellEnd"/>
      <w:r w:rsidRPr="00007D12">
        <w:rPr>
          <w:rFonts w:cs="Times New Roman"/>
          <w:b/>
          <w:sz w:val="24"/>
          <w:szCs w:val="24"/>
        </w:rPr>
        <w:t>:</w:t>
      </w:r>
    </w:p>
    <w:p w:rsidR="00D84DB9" w:rsidRPr="00007D12" w:rsidRDefault="00D84DB9" w:rsidP="00D84DB9">
      <w:pPr>
        <w:rPr>
          <w:rFonts w:cs="Times New Roman"/>
          <w:sz w:val="24"/>
          <w:szCs w:val="24"/>
        </w:rPr>
      </w:pPr>
      <w:r w:rsidRPr="00007D12">
        <w:rPr>
          <w:rFonts w:cs="Times New Roman"/>
          <w:sz w:val="24"/>
          <w:szCs w:val="24"/>
        </w:rPr>
        <w:t>По странам, по событию, по типу опасности (например, согласно классификации Комплексного обследования риска бедствий (IRDR), возможно разделение естественных опасностей возможно на климатологические, гидрологические, метеорологические, геофизические, биологические и внеземные)</w:t>
      </w:r>
    </w:p>
    <w:p w:rsidR="00D84DB9" w:rsidRPr="00007D12" w:rsidRDefault="00D84DB9" w:rsidP="00D84DB9">
      <w:pPr>
        <w:rPr>
          <w:rFonts w:cs="Times New Roman"/>
          <w:sz w:val="24"/>
          <w:szCs w:val="24"/>
        </w:rPr>
      </w:pPr>
      <w:r w:rsidRPr="00007D12">
        <w:rPr>
          <w:rFonts w:cs="Times New Roman"/>
          <w:sz w:val="24"/>
          <w:szCs w:val="24"/>
        </w:rPr>
        <w:t>По категории потерь активов (здравоохранение / образование / дорожная инфраструктура и т. д.)</w:t>
      </w:r>
    </w:p>
    <w:p w:rsidR="00D84DB9" w:rsidRPr="00007D12" w:rsidRDefault="00D84DB9" w:rsidP="00D84DB9">
      <w:pPr>
        <w:rPr>
          <w:rFonts w:cs="Times New Roman"/>
          <w:sz w:val="24"/>
          <w:szCs w:val="24"/>
        </w:rPr>
      </w:pPr>
      <w:r w:rsidRPr="00007D12">
        <w:rPr>
          <w:rFonts w:cs="Times New Roman"/>
          <w:sz w:val="24"/>
          <w:szCs w:val="24"/>
        </w:rPr>
        <w:t>По режиму транспортировки (для 11.5.2)</w:t>
      </w:r>
    </w:p>
    <w:p w:rsidR="00D84DB9" w:rsidRPr="00007D12" w:rsidRDefault="00D84DB9" w:rsidP="00D84DB9">
      <w:pPr>
        <w:rPr>
          <w:rFonts w:cs="Times New Roman"/>
          <w:sz w:val="24"/>
          <w:szCs w:val="24"/>
        </w:rPr>
      </w:pPr>
      <w:r w:rsidRPr="00007D12">
        <w:rPr>
          <w:rFonts w:cs="Times New Roman"/>
          <w:sz w:val="24"/>
          <w:szCs w:val="24"/>
        </w:rPr>
        <w:t>По секторам услуг (для 11.5.2)</w:t>
      </w:r>
    </w:p>
    <w:p w:rsidR="00D84DB9" w:rsidRPr="00007D12" w:rsidRDefault="00D84DB9" w:rsidP="00D84DB9">
      <w:pPr>
        <w:rPr>
          <w:rFonts w:cs="Times New Roman"/>
          <w:b/>
          <w:sz w:val="24"/>
          <w:szCs w:val="24"/>
        </w:rPr>
      </w:pPr>
      <w:r w:rsidRPr="00007D12">
        <w:rPr>
          <w:rFonts w:cs="Times New Roman"/>
          <w:b/>
          <w:sz w:val="24"/>
          <w:szCs w:val="24"/>
        </w:rPr>
        <w:t>Обработка отсутствующих значений:</w:t>
      </w:r>
    </w:p>
    <w:p w:rsidR="00D84DB9" w:rsidRPr="00007D12" w:rsidRDefault="00D84DB9" w:rsidP="00D84DB9">
      <w:pPr>
        <w:rPr>
          <w:rFonts w:cs="Times New Roman"/>
          <w:sz w:val="24"/>
          <w:szCs w:val="24"/>
        </w:rPr>
      </w:pPr>
      <w:r w:rsidRPr="00007D12">
        <w:rPr>
          <w:rFonts w:cs="Times New Roman"/>
          <w:sz w:val="24"/>
          <w:szCs w:val="24"/>
        </w:rPr>
        <w:t>На уровне страны:</w:t>
      </w:r>
    </w:p>
    <w:p w:rsidR="00D84DB9" w:rsidRPr="00007D12" w:rsidRDefault="00D84DB9" w:rsidP="00D84DB9">
      <w:pPr>
        <w:rPr>
          <w:rFonts w:cs="Times New Roman"/>
          <w:sz w:val="24"/>
          <w:szCs w:val="24"/>
        </w:rPr>
      </w:pPr>
      <w:r w:rsidRPr="00007D12">
        <w:rPr>
          <w:rFonts w:cs="Times New Roman"/>
          <w:sz w:val="24"/>
          <w:szCs w:val="24"/>
        </w:rPr>
        <w:t xml:space="preserve">В Национальных базах данных по катастрофам недостающие значения, а также нулевые показатели считаются эквивалентными. Это является следствием типичной формы отчетов по бедственным ситуациям, которые учитывают только те последствия, которые произошли. Обычно о воздействии, которое не было обнаружено, не сообщают (т. е. нет явных сообщений о том, что чего-то произошло, например, если в результате стихийного бедствия не произошло сельскохозяйственного ущерба, связанный отчет просто не содержит раздела по сельскому хозяйству, вместо, например, указания об отсутствии сельскохозяйственного ущерба). </w:t>
      </w:r>
    </w:p>
    <w:p w:rsidR="00D84DB9" w:rsidRPr="00007D12" w:rsidRDefault="00D84DB9" w:rsidP="00D84DB9">
      <w:pPr>
        <w:rPr>
          <w:rFonts w:cs="Times New Roman"/>
          <w:sz w:val="24"/>
          <w:szCs w:val="24"/>
        </w:rPr>
      </w:pPr>
      <w:r w:rsidRPr="00007D12">
        <w:rPr>
          <w:rFonts w:cs="Times New Roman"/>
          <w:sz w:val="24"/>
          <w:szCs w:val="24"/>
        </w:rPr>
        <w:t>На региональном и глобальном уровнях:</w:t>
      </w:r>
    </w:p>
    <w:p w:rsidR="00D84DB9" w:rsidRPr="00007D12" w:rsidRDefault="00D84DB9" w:rsidP="00D84DB9">
      <w:pPr>
        <w:rPr>
          <w:rFonts w:cs="Times New Roman"/>
          <w:sz w:val="24"/>
          <w:szCs w:val="24"/>
        </w:rPr>
      </w:pPr>
      <w:r w:rsidRPr="00007D12">
        <w:rPr>
          <w:rFonts w:cs="Times New Roman"/>
          <w:sz w:val="24"/>
          <w:szCs w:val="24"/>
        </w:rPr>
        <w:t>Не применимо</w:t>
      </w:r>
    </w:p>
    <w:p w:rsidR="00D84DB9" w:rsidRPr="00007D12" w:rsidRDefault="00D84DB9" w:rsidP="00D84DB9">
      <w:pPr>
        <w:rPr>
          <w:rFonts w:cs="Times New Roman"/>
          <w:b/>
          <w:sz w:val="24"/>
          <w:szCs w:val="24"/>
        </w:rPr>
      </w:pPr>
      <w:r>
        <w:rPr>
          <w:rFonts w:cs="Times New Roman"/>
          <w:b/>
          <w:sz w:val="24"/>
          <w:szCs w:val="24"/>
        </w:rPr>
        <w:t>Региональные показатели</w:t>
      </w:r>
      <w:r w:rsidRPr="00007D12">
        <w:rPr>
          <w:rFonts w:cs="Times New Roman"/>
          <w:b/>
          <w:sz w:val="24"/>
          <w:szCs w:val="24"/>
        </w:rPr>
        <w:t>:</w:t>
      </w:r>
    </w:p>
    <w:p w:rsidR="00D84DB9" w:rsidRPr="00007D12" w:rsidRDefault="00D84DB9" w:rsidP="00D84DB9">
      <w:pPr>
        <w:rPr>
          <w:rFonts w:cs="Times New Roman"/>
          <w:sz w:val="24"/>
          <w:szCs w:val="24"/>
        </w:rPr>
      </w:pPr>
      <w:r w:rsidRPr="00007D12">
        <w:rPr>
          <w:rFonts w:cs="Times New Roman"/>
          <w:sz w:val="24"/>
          <w:szCs w:val="24"/>
        </w:rPr>
        <w:t>См. Раздел «Методология расчета».</w:t>
      </w:r>
    </w:p>
    <w:p w:rsidR="00D84DB9" w:rsidRPr="00007D12" w:rsidRDefault="00D84DB9" w:rsidP="00D84DB9">
      <w:pPr>
        <w:rPr>
          <w:rFonts w:cs="Times New Roman"/>
          <w:sz w:val="24"/>
          <w:szCs w:val="24"/>
        </w:rPr>
      </w:pPr>
      <w:r w:rsidRPr="00007D12">
        <w:rPr>
          <w:rFonts w:cs="Times New Roman"/>
          <w:sz w:val="24"/>
          <w:szCs w:val="24"/>
        </w:rPr>
        <w:t xml:space="preserve">Он будет рассчитываться как суммирование прямых экономических потерь на страну, деленное на глобальный ВВП. </w:t>
      </w:r>
    </w:p>
    <w:p w:rsidR="00D84DB9" w:rsidRPr="00007D12" w:rsidRDefault="00D84DB9" w:rsidP="00D84DB9">
      <w:pPr>
        <w:rPr>
          <w:rFonts w:cs="Times New Roman"/>
          <w:b/>
          <w:sz w:val="24"/>
          <w:szCs w:val="24"/>
        </w:rPr>
      </w:pPr>
      <w:r w:rsidRPr="00007D12">
        <w:rPr>
          <w:rFonts w:cs="Times New Roman"/>
          <w:b/>
          <w:sz w:val="24"/>
          <w:szCs w:val="24"/>
        </w:rPr>
        <w:t>Источники расхождений:</w:t>
      </w:r>
    </w:p>
    <w:p w:rsidR="00D84DB9" w:rsidRPr="00007D12" w:rsidRDefault="00D84DB9" w:rsidP="00D84DB9">
      <w:pPr>
        <w:rPr>
          <w:rFonts w:cs="Times New Roman"/>
          <w:sz w:val="24"/>
          <w:szCs w:val="24"/>
        </w:rPr>
      </w:pPr>
      <w:r w:rsidRPr="00007D12">
        <w:rPr>
          <w:rFonts w:cs="Times New Roman"/>
          <w:i/>
          <w:sz w:val="24"/>
          <w:szCs w:val="24"/>
        </w:rPr>
        <w:t>Пороговое значение</w:t>
      </w:r>
      <w:r w:rsidRPr="00007D12">
        <w:rPr>
          <w:rFonts w:cs="Times New Roman"/>
          <w:sz w:val="24"/>
          <w:szCs w:val="24"/>
        </w:rPr>
        <w:t xml:space="preserve"> (например, включение / исключение мелких / крупных бедствий): Международные источники данных фиксируют только события, которые превышают </w:t>
      </w:r>
      <w:r w:rsidRPr="00007D12">
        <w:rPr>
          <w:rFonts w:cs="Times New Roman"/>
          <w:sz w:val="24"/>
          <w:szCs w:val="24"/>
        </w:rPr>
        <w:lastRenderedPageBreak/>
        <w:t>некоторое пороговое значение ущерба. Например, Международная база данных по стихийным бедствиям EMDAT регистрирует только события со смертностью более 10 чел., пострадавшими более 100 чел. или в случае если это предусмотрено международной декларацией. Частные страховые или перестраховочные базы данных о стихийных бедствиях фиксируют только те события, в случае если были застрахованы убытки, что отрицательно сказывается на странах с низким уровнем проникновения на страховой рынок.</w:t>
      </w:r>
    </w:p>
    <w:p w:rsidR="00D84DB9" w:rsidRPr="00007D12" w:rsidRDefault="00D84DB9" w:rsidP="00D84DB9">
      <w:pPr>
        <w:rPr>
          <w:rFonts w:cs="Times New Roman"/>
          <w:sz w:val="24"/>
          <w:szCs w:val="24"/>
        </w:rPr>
      </w:pPr>
      <w:r w:rsidRPr="00007D12">
        <w:rPr>
          <w:rFonts w:cs="Times New Roman"/>
          <w:i/>
          <w:sz w:val="24"/>
          <w:szCs w:val="24"/>
        </w:rPr>
        <w:t>Методология / определение</w:t>
      </w:r>
      <w:r w:rsidRPr="00007D12">
        <w:rPr>
          <w:rFonts w:cs="Times New Roman"/>
          <w:sz w:val="24"/>
          <w:szCs w:val="24"/>
        </w:rPr>
        <w:t>: Международные источники данных используют вторичные источники информации для формирования своих баз данных. Эти источники, как правило, имеют в своей основе неоднородные или даже несовместимые методологические положения, создающие разнородные наборы данных.</w:t>
      </w:r>
    </w:p>
    <w:p w:rsidR="00D84DB9" w:rsidRPr="00007D12" w:rsidRDefault="00D84DB9" w:rsidP="00D84DB9">
      <w:pPr>
        <w:rPr>
          <w:rFonts w:cs="Times New Roman"/>
          <w:sz w:val="24"/>
          <w:szCs w:val="24"/>
        </w:rPr>
      </w:pPr>
      <w:r w:rsidRPr="00007D12">
        <w:rPr>
          <w:rFonts w:cs="Times New Roman"/>
          <w:i/>
          <w:sz w:val="24"/>
          <w:szCs w:val="24"/>
        </w:rPr>
        <w:t>Наблюдение</w:t>
      </w:r>
      <w:r w:rsidRPr="00007D12">
        <w:rPr>
          <w:rFonts w:cs="Times New Roman"/>
          <w:sz w:val="24"/>
          <w:szCs w:val="24"/>
        </w:rPr>
        <w:t xml:space="preserve"> (данные на национальном уровне более полные): международные сборщики данных из-за ограничений доступа к информации не регистрируют большое количество событий, которые впоследствии не публикуются на международном уровне или которые не «видны» в используемых вторичных источниках данных. </w:t>
      </w:r>
    </w:p>
    <w:p w:rsidR="00D84DB9" w:rsidRPr="00007D12" w:rsidRDefault="00D84DB9" w:rsidP="00D84DB9">
      <w:pPr>
        <w:rPr>
          <w:rFonts w:cs="Times New Roman"/>
          <w:b/>
          <w:sz w:val="24"/>
          <w:szCs w:val="24"/>
        </w:rPr>
      </w:pPr>
      <w:r w:rsidRPr="00007D12">
        <w:rPr>
          <w:rFonts w:cs="Times New Roman"/>
          <w:b/>
          <w:sz w:val="24"/>
          <w:szCs w:val="24"/>
        </w:rPr>
        <w:t xml:space="preserve">Источники данных </w:t>
      </w:r>
    </w:p>
    <w:p w:rsidR="00D84DB9" w:rsidRPr="00007D12" w:rsidRDefault="00D84DB9" w:rsidP="00D84DB9">
      <w:pPr>
        <w:rPr>
          <w:rFonts w:cs="Times New Roman"/>
          <w:sz w:val="24"/>
          <w:szCs w:val="24"/>
        </w:rPr>
      </w:pPr>
      <w:r w:rsidRPr="00007D12">
        <w:rPr>
          <w:rFonts w:cs="Times New Roman"/>
          <w:sz w:val="24"/>
          <w:szCs w:val="24"/>
        </w:rPr>
        <w:t>Описание:</w:t>
      </w:r>
    </w:p>
    <w:p w:rsidR="00D84DB9" w:rsidRPr="00007D12" w:rsidRDefault="00D84DB9" w:rsidP="00D84DB9">
      <w:pPr>
        <w:rPr>
          <w:rFonts w:cs="Times New Roman"/>
          <w:sz w:val="24"/>
          <w:szCs w:val="24"/>
        </w:rPr>
      </w:pPr>
      <w:r w:rsidRPr="00007D12">
        <w:rPr>
          <w:rFonts w:cs="Times New Roman"/>
          <w:sz w:val="24"/>
          <w:szCs w:val="24"/>
        </w:rPr>
        <w:t>Национальная база данных о стихийных бедствиях, представленная МСУОБ ООН</w:t>
      </w:r>
    </w:p>
    <w:p w:rsidR="00D84DB9" w:rsidRPr="00007D12" w:rsidRDefault="00D84DB9" w:rsidP="00D84DB9">
      <w:pPr>
        <w:rPr>
          <w:rFonts w:cs="Times New Roman"/>
          <w:sz w:val="24"/>
          <w:szCs w:val="24"/>
        </w:rPr>
      </w:pPr>
      <w:r w:rsidRPr="00007D12">
        <w:rPr>
          <w:rFonts w:cs="Times New Roman"/>
          <w:sz w:val="24"/>
          <w:szCs w:val="24"/>
        </w:rPr>
        <w:t>Процесс сбора:</w:t>
      </w:r>
    </w:p>
    <w:p w:rsidR="00D84DB9" w:rsidRPr="00007D12" w:rsidRDefault="00D84DB9" w:rsidP="00D84DB9">
      <w:pPr>
        <w:rPr>
          <w:rFonts w:cs="Times New Roman"/>
          <w:sz w:val="24"/>
          <w:szCs w:val="24"/>
        </w:rPr>
      </w:pPr>
      <w:r w:rsidRPr="00007D12">
        <w:rPr>
          <w:rFonts w:cs="Times New Roman"/>
          <w:sz w:val="24"/>
          <w:szCs w:val="24"/>
        </w:rPr>
        <w:t>Официальные партнеры на уровне стран будут создавать / корректировать национальные базы данных о потерях в случае возникновения стихийных бедствий в соответствии с рекомендациями и руководящими принципами, разработанными Межправительственной рабочей группой экспертов открытого состава по показателям и терминологии, касающихся уменьшения опасности бедствий (OEIWG).</w:t>
      </w:r>
    </w:p>
    <w:p w:rsidR="00D84DB9" w:rsidRPr="00007D12" w:rsidRDefault="00D84DB9" w:rsidP="00D84DB9">
      <w:pPr>
        <w:rPr>
          <w:rFonts w:cs="Times New Roman"/>
          <w:b/>
          <w:sz w:val="24"/>
          <w:szCs w:val="24"/>
        </w:rPr>
      </w:pPr>
      <w:r w:rsidRPr="00007D12">
        <w:rPr>
          <w:rFonts w:cs="Times New Roman"/>
          <w:b/>
          <w:sz w:val="24"/>
          <w:szCs w:val="24"/>
        </w:rPr>
        <w:t>Доступность данных</w:t>
      </w:r>
    </w:p>
    <w:p w:rsidR="00D84DB9" w:rsidRPr="00007D12" w:rsidRDefault="00D84DB9" w:rsidP="00D84DB9">
      <w:pPr>
        <w:rPr>
          <w:rFonts w:cs="Times New Roman"/>
          <w:sz w:val="24"/>
          <w:szCs w:val="24"/>
        </w:rPr>
      </w:pPr>
      <w:r w:rsidRPr="00007D12">
        <w:rPr>
          <w:rFonts w:cs="Times New Roman"/>
          <w:sz w:val="24"/>
          <w:szCs w:val="24"/>
        </w:rPr>
        <w:t>Описание:</w:t>
      </w:r>
    </w:p>
    <w:p w:rsidR="00D84DB9" w:rsidRPr="00007D12" w:rsidRDefault="00D84DB9" w:rsidP="00D84DB9">
      <w:pPr>
        <w:rPr>
          <w:rFonts w:cs="Times New Roman"/>
          <w:sz w:val="24"/>
          <w:szCs w:val="24"/>
        </w:rPr>
      </w:pPr>
      <w:r w:rsidRPr="00007D12">
        <w:rPr>
          <w:rFonts w:cs="Times New Roman"/>
          <w:sz w:val="24"/>
          <w:szCs w:val="24"/>
        </w:rPr>
        <w:t xml:space="preserve">Около 100 стран </w:t>
      </w:r>
    </w:p>
    <w:p w:rsidR="00D84DB9" w:rsidRPr="00007D12" w:rsidRDefault="00D84DB9" w:rsidP="00D84DB9">
      <w:pPr>
        <w:rPr>
          <w:rFonts w:cs="Times New Roman"/>
          <w:sz w:val="24"/>
          <w:szCs w:val="24"/>
        </w:rPr>
      </w:pPr>
      <w:r w:rsidRPr="00007D12">
        <w:rPr>
          <w:rFonts w:cs="Times New Roman"/>
          <w:sz w:val="24"/>
          <w:szCs w:val="24"/>
        </w:rPr>
        <w:t xml:space="preserve">Число стран с национальными базами данных по стихийным бедствиям с использованием инструментов и методологии </w:t>
      </w:r>
      <w:proofErr w:type="spellStart"/>
      <w:r w:rsidRPr="00007D12">
        <w:rPr>
          <w:rFonts w:cs="Times New Roman"/>
          <w:sz w:val="24"/>
          <w:szCs w:val="24"/>
        </w:rPr>
        <w:t>DesInventar</w:t>
      </w:r>
      <w:proofErr w:type="spellEnd"/>
      <w:r w:rsidRPr="00007D12">
        <w:rPr>
          <w:rFonts w:cs="Times New Roman"/>
          <w:sz w:val="24"/>
          <w:szCs w:val="24"/>
        </w:rPr>
        <w:t xml:space="preserve"> в настоящее время составляет 89 стран. Учитывая требования к данным о бедствиях, зафиксированные в отчетности по ЦУР и целевым показателям </w:t>
      </w:r>
      <w:proofErr w:type="spellStart"/>
      <w:r w:rsidRPr="00007D12">
        <w:rPr>
          <w:rFonts w:cs="Times New Roman"/>
          <w:sz w:val="24"/>
          <w:szCs w:val="24"/>
        </w:rPr>
        <w:t>Сэндайской</w:t>
      </w:r>
      <w:proofErr w:type="spellEnd"/>
      <w:r w:rsidRPr="00007D12">
        <w:rPr>
          <w:rFonts w:cs="Times New Roman"/>
          <w:sz w:val="24"/>
          <w:szCs w:val="24"/>
        </w:rPr>
        <w:t xml:space="preserve"> рамочной конвенции, ожидается, что к 2020 году все государства-члены будут создавать или корректировать свои национальные базы данных о катастрофах в соответствии с рекомендациями и руководящими принципами, разработанными Межправительственной рабочей группой экспертов открытого состава по показателям и терминологии, касающихся уменьшения опасности бедствий (OEIWG).</w:t>
      </w:r>
    </w:p>
    <w:p w:rsidR="00D84DB9" w:rsidRPr="0022621D" w:rsidRDefault="00D84DB9" w:rsidP="00D84DB9">
      <w:pPr>
        <w:rPr>
          <w:rFonts w:cs="Times New Roman"/>
          <w:sz w:val="24"/>
          <w:szCs w:val="24"/>
        </w:rPr>
      </w:pPr>
      <w:r w:rsidRPr="0022621D">
        <w:rPr>
          <w:rFonts w:cs="Times New Roman"/>
          <w:sz w:val="24"/>
          <w:szCs w:val="24"/>
        </w:rPr>
        <w:t>Временной ряд:</w:t>
      </w:r>
    </w:p>
    <w:p w:rsidR="00D84DB9" w:rsidRPr="00007D12" w:rsidRDefault="00D84DB9" w:rsidP="00D84DB9">
      <w:pPr>
        <w:rPr>
          <w:rFonts w:cs="Times New Roman"/>
          <w:sz w:val="24"/>
          <w:szCs w:val="24"/>
        </w:rPr>
      </w:pPr>
      <w:r w:rsidRPr="00007D12">
        <w:rPr>
          <w:rFonts w:cs="Times New Roman"/>
          <w:sz w:val="24"/>
          <w:szCs w:val="24"/>
        </w:rPr>
        <w:t>С 1990 по 2013 год: Национальная база данных потерей от стихийных бедствий</w:t>
      </w:r>
    </w:p>
    <w:p w:rsidR="00D84DB9" w:rsidRPr="00007D12" w:rsidRDefault="00D84DB9" w:rsidP="00D84DB9">
      <w:pPr>
        <w:rPr>
          <w:rFonts w:cs="Times New Roman"/>
          <w:b/>
          <w:sz w:val="24"/>
          <w:szCs w:val="24"/>
        </w:rPr>
      </w:pPr>
      <w:r w:rsidRPr="00007D12">
        <w:rPr>
          <w:rFonts w:cs="Times New Roman"/>
          <w:b/>
          <w:sz w:val="24"/>
          <w:szCs w:val="24"/>
        </w:rPr>
        <w:t xml:space="preserve">Календарь </w:t>
      </w:r>
    </w:p>
    <w:p w:rsidR="00D84DB9" w:rsidRPr="00007D12" w:rsidRDefault="00D84DB9" w:rsidP="00D84DB9">
      <w:pPr>
        <w:rPr>
          <w:rFonts w:cs="Times New Roman"/>
          <w:sz w:val="24"/>
          <w:szCs w:val="24"/>
        </w:rPr>
      </w:pPr>
      <w:r w:rsidRPr="00007D12">
        <w:rPr>
          <w:rFonts w:cs="Times New Roman"/>
          <w:sz w:val="24"/>
          <w:szCs w:val="24"/>
        </w:rPr>
        <w:t>Сбор данных:</w:t>
      </w:r>
    </w:p>
    <w:p w:rsidR="00D84DB9" w:rsidRPr="00007D12" w:rsidRDefault="00D84DB9" w:rsidP="00D84DB9">
      <w:pPr>
        <w:rPr>
          <w:rFonts w:cs="Times New Roman"/>
          <w:sz w:val="24"/>
          <w:szCs w:val="24"/>
        </w:rPr>
      </w:pPr>
      <w:r w:rsidRPr="00007D12">
        <w:rPr>
          <w:rFonts w:cs="Times New Roman"/>
          <w:sz w:val="24"/>
          <w:szCs w:val="24"/>
        </w:rPr>
        <w:t>2017-2018</w:t>
      </w:r>
    </w:p>
    <w:p w:rsidR="00D84DB9" w:rsidRPr="00007D12" w:rsidRDefault="00D84DB9" w:rsidP="00D84DB9">
      <w:pPr>
        <w:rPr>
          <w:rFonts w:cs="Times New Roman"/>
          <w:sz w:val="24"/>
          <w:szCs w:val="24"/>
        </w:rPr>
      </w:pPr>
      <w:r w:rsidRPr="00007D12">
        <w:rPr>
          <w:rFonts w:cs="Times New Roman"/>
          <w:sz w:val="24"/>
          <w:szCs w:val="24"/>
        </w:rPr>
        <w:t>Выпуск конечных данных:</w:t>
      </w:r>
    </w:p>
    <w:p w:rsidR="00D84DB9" w:rsidRPr="00007D12" w:rsidRDefault="00D84DB9" w:rsidP="00D84DB9">
      <w:pPr>
        <w:rPr>
          <w:rFonts w:cs="Times New Roman"/>
          <w:sz w:val="24"/>
          <w:szCs w:val="24"/>
        </w:rPr>
      </w:pPr>
      <w:r w:rsidRPr="00007D12">
        <w:rPr>
          <w:rFonts w:cs="Times New Roman"/>
          <w:sz w:val="24"/>
          <w:szCs w:val="24"/>
        </w:rPr>
        <w:lastRenderedPageBreak/>
        <w:t>Первоначальные наборы данных в 2017 году, первый полный набор данных – к 2019 году.</w:t>
      </w:r>
    </w:p>
    <w:p w:rsidR="00D84DB9" w:rsidRPr="00007D12" w:rsidRDefault="00D84DB9" w:rsidP="00D84DB9">
      <w:pPr>
        <w:rPr>
          <w:rFonts w:cs="Times New Roman"/>
          <w:b/>
          <w:sz w:val="24"/>
          <w:szCs w:val="24"/>
        </w:rPr>
      </w:pPr>
      <w:r>
        <w:rPr>
          <w:rFonts w:cs="Times New Roman"/>
          <w:b/>
          <w:sz w:val="24"/>
          <w:szCs w:val="24"/>
        </w:rPr>
        <w:t>Поставщики данных</w:t>
      </w:r>
    </w:p>
    <w:p w:rsidR="00D84DB9" w:rsidRPr="00007D12" w:rsidRDefault="00D84DB9" w:rsidP="00D84DB9">
      <w:pPr>
        <w:rPr>
          <w:rFonts w:cs="Times New Roman"/>
          <w:sz w:val="24"/>
          <w:szCs w:val="24"/>
        </w:rPr>
      </w:pPr>
      <w:r w:rsidRPr="00007D12">
        <w:rPr>
          <w:rFonts w:cs="Times New Roman"/>
          <w:sz w:val="24"/>
          <w:szCs w:val="24"/>
        </w:rPr>
        <w:t>Наименование:</w:t>
      </w:r>
    </w:p>
    <w:p w:rsidR="00D84DB9" w:rsidRPr="00007D12" w:rsidRDefault="00D84DB9" w:rsidP="00D84DB9">
      <w:pPr>
        <w:rPr>
          <w:rFonts w:cs="Times New Roman"/>
          <w:sz w:val="24"/>
          <w:szCs w:val="24"/>
        </w:rPr>
      </w:pPr>
      <w:r w:rsidRPr="00007D12">
        <w:rPr>
          <w:rFonts w:cs="Times New Roman"/>
          <w:sz w:val="24"/>
          <w:szCs w:val="24"/>
        </w:rPr>
        <w:t>В большинстве стран национальные базы данных по стихийным бедствиям создаются и управляются агентствами специального назначения, включая национальные службами по борьбе со стихийными бедствиями, службами гражданской защиты и метеорологическими службами, а также данные о стихийных бедствиях, собранные отраслевыми министерствами. Некоторые исключения включают академические учреждения, осуществляющие долгосрочные исследовательские программы, НПО, занимающиеся вопросами снижения риска бедствий и управления рисками стихийных бедствий (СРБ и УРБ), и страховые базы данных или источники данных, когда проникновение на рынок очень велико.</w:t>
      </w:r>
    </w:p>
    <w:p w:rsidR="00D84DB9" w:rsidRPr="00007D12" w:rsidRDefault="00D84DB9" w:rsidP="00D84DB9">
      <w:pPr>
        <w:rPr>
          <w:rFonts w:cs="Times New Roman"/>
          <w:sz w:val="24"/>
          <w:szCs w:val="24"/>
        </w:rPr>
      </w:pPr>
      <w:r w:rsidRPr="00007D12">
        <w:rPr>
          <w:rFonts w:cs="Times New Roman"/>
          <w:sz w:val="24"/>
          <w:szCs w:val="24"/>
        </w:rPr>
        <w:t>Описание:</w:t>
      </w:r>
    </w:p>
    <w:p w:rsidR="00D84DB9" w:rsidRPr="00007D12" w:rsidRDefault="00D84DB9" w:rsidP="00D84DB9">
      <w:pPr>
        <w:rPr>
          <w:rFonts w:cs="Times New Roman"/>
          <w:sz w:val="24"/>
          <w:szCs w:val="24"/>
        </w:rPr>
      </w:pPr>
      <w:r w:rsidRPr="00007D12">
        <w:rPr>
          <w:rFonts w:cs="Times New Roman"/>
          <w:sz w:val="24"/>
          <w:szCs w:val="24"/>
        </w:rPr>
        <w:t>В большинстве стран национальные базы данных по стихийным бедствиям создаются и управляются агентствами специального назначения, включая национальные службами по борьбе со стихийными бедствиями, службами гражданской защиты и метеорологическими службами, а также данные о стихийных бедствиях, собранные отраслевыми министерствами. Некоторые исключения включают академические учреждения, осуществляющие долгосрочные исследовательские программы, НПО, занимающиеся вопросами снижения риска бедствий и управления рисками стихийных бедствий (СРБ и УРБ), и страховые базы данных или источники данных, когда проникновение на рынок очень велико.</w:t>
      </w:r>
    </w:p>
    <w:p w:rsidR="00D84DB9" w:rsidRPr="00007D12" w:rsidRDefault="00D84DB9" w:rsidP="00D84DB9">
      <w:pPr>
        <w:rPr>
          <w:rFonts w:cs="Times New Roman"/>
          <w:b/>
          <w:sz w:val="24"/>
          <w:szCs w:val="24"/>
        </w:rPr>
      </w:pPr>
      <w:r>
        <w:rPr>
          <w:rFonts w:cs="Times New Roman"/>
          <w:b/>
          <w:sz w:val="24"/>
          <w:szCs w:val="24"/>
        </w:rPr>
        <w:t>Составители данных</w:t>
      </w:r>
    </w:p>
    <w:p w:rsidR="00D84DB9" w:rsidRPr="00007D12" w:rsidRDefault="00D84DB9" w:rsidP="00D84DB9">
      <w:pPr>
        <w:rPr>
          <w:rFonts w:cs="Times New Roman"/>
          <w:sz w:val="24"/>
          <w:szCs w:val="24"/>
        </w:rPr>
      </w:pPr>
      <w:r w:rsidRPr="00007D12">
        <w:rPr>
          <w:rFonts w:cs="Times New Roman"/>
          <w:sz w:val="24"/>
          <w:szCs w:val="24"/>
        </w:rPr>
        <w:t>МСУОБ ООН (</w:t>
      </w:r>
      <w:r w:rsidRPr="00007D12">
        <w:rPr>
          <w:rFonts w:cs="Times New Roman"/>
          <w:sz w:val="24"/>
          <w:szCs w:val="24"/>
          <w:lang w:val="en-US"/>
        </w:rPr>
        <w:t>UNISDR</w:t>
      </w:r>
      <w:r w:rsidRPr="00007D12">
        <w:rPr>
          <w:rFonts w:cs="Times New Roman"/>
          <w:sz w:val="24"/>
          <w:szCs w:val="24"/>
        </w:rPr>
        <w:t>)</w:t>
      </w:r>
    </w:p>
    <w:p w:rsidR="00D84DB9" w:rsidRPr="00007D12" w:rsidRDefault="00D84DB9" w:rsidP="00D84DB9">
      <w:pPr>
        <w:rPr>
          <w:rFonts w:cs="Times New Roman"/>
          <w:b/>
          <w:sz w:val="24"/>
          <w:szCs w:val="24"/>
        </w:rPr>
      </w:pPr>
      <w:r w:rsidRPr="00007D12">
        <w:rPr>
          <w:rFonts w:cs="Times New Roman"/>
          <w:b/>
          <w:sz w:val="24"/>
          <w:szCs w:val="24"/>
        </w:rPr>
        <w:t>Ссылки:</w:t>
      </w:r>
    </w:p>
    <w:p w:rsidR="00D84DB9" w:rsidRPr="00A66710" w:rsidRDefault="00D84DB9" w:rsidP="00D84DB9">
      <w:pPr>
        <w:rPr>
          <w:rFonts w:cs="Times New Roman"/>
          <w:sz w:val="24"/>
          <w:szCs w:val="24"/>
        </w:rPr>
      </w:pPr>
      <w:r w:rsidRPr="00A66710">
        <w:rPr>
          <w:rFonts w:cs="Times New Roman"/>
          <w:sz w:val="24"/>
          <w:szCs w:val="24"/>
          <w:lang w:val="en-US"/>
        </w:rPr>
        <w:t>URL</w:t>
      </w:r>
      <w:r w:rsidRPr="00A66710">
        <w:rPr>
          <w:rFonts w:cs="Times New Roman"/>
          <w:sz w:val="24"/>
          <w:szCs w:val="24"/>
        </w:rPr>
        <w:t>:</w:t>
      </w:r>
    </w:p>
    <w:p w:rsidR="00D84DB9" w:rsidRPr="00A66710" w:rsidRDefault="00D84DB9" w:rsidP="00D84DB9">
      <w:pPr>
        <w:rPr>
          <w:rFonts w:cs="Times New Roman"/>
          <w:sz w:val="24"/>
          <w:szCs w:val="24"/>
        </w:rPr>
      </w:pPr>
      <w:hyperlink r:id="rId5" w:history="1">
        <w:r w:rsidRPr="00A66710">
          <w:rPr>
            <w:rStyle w:val="Hyperlink"/>
            <w:rFonts w:cs="Times New Roman"/>
            <w:color w:val="auto"/>
            <w:sz w:val="24"/>
            <w:szCs w:val="24"/>
            <w:u w:val="none"/>
          </w:rPr>
          <w:t>http://www.preventionweb.net/documents/oiewg/Technical%20Collection%20of%20Concept%20Notes%20on%20Indicators.pdf</w:t>
        </w:r>
      </w:hyperlink>
    </w:p>
    <w:p w:rsidR="00D84DB9" w:rsidRPr="00A66710" w:rsidRDefault="00D84DB9" w:rsidP="00D84DB9">
      <w:pPr>
        <w:rPr>
          <w:rFonts w:cs="Times New Roman"/>
          <w:sz w:val="24"/>
          <w:szCs w:val="24"/>
        </w:rPr>
      </w:pPr>
      <w:r w:rsidRPr="00A66710">
        <w:rPr>
          <w:rFonts w:cs="Times New Roman"/>
          <w:sz w:val="24"/>
          <w:szCs w:val="24"/>
        </w:rPr>
        <w:t>Ссылки:</w:t>
      </w:r>
    </w:p>
    <w:p w:rsidR="00D84DB9" w:rsidRPr="00502692" w:rsidRDefault="00D84DB9" w:rsidP="00D84DB9">
      <w:pPr>
        <w:rPr>
          <w:rFonts w:cs="Times New Roman"/>
          <w:sz w:val="24"/>
          <w:szCs w:val="24"/>
        </w:rPr>
      </w:pPr>
      <w:r w:rsidRPr="00A66710">
        <w:rPr>
          <w:rFonts w:cs="Times New Roman"/>
          <w:sz w:val="24"/>
          <w:szCs w:val="24"/>
        </w:rPr>
        <w:t>Организацией</w:t>
      </w:r>
      <w:r w:rsidRPr="00007D12">
        <w:rPr>
          <w:rFonts w:cs="Times New Roman"/>
          <w:sz w:val="24"/>
          <w:szCs w:val="24"/>
        </w:rPr>
        <w:t xml:space="preserve"> Объединенных Наций было поручено создание Межправительственной рабочей группы экспертов открытого состава по показателям и терминологии, касающейся уменьшения опасности бедствий (OEIWG), для разработки набора показателей для измерения глобального прогресса в осуществлении </w:t>
      </w:r>
      <w:proofErr w:type="spellStart"/>
      <w:r w:rsidRPr="00007D12">
        <w:rPr>
          <w:rFonts w:cs="Times New Roman"/>
          <w:sz w:val="24"/>
          <w:szCs w:val="24"/>
        </w:rPr>
        <w:t>Сендайской</w:t>
      </w:r>
      <w:proofErr w:type="spellEnd"/>
      <w:r w:rsidRPr="00007D12">
        <w:rPr>
          <w:rFonts w:cs="Times New Roman"/>
          <w:sz w:val="24"/>
          <w:szCs w:val="24"/>
        </w:rPr>
        <w:t xml:space="preserve"> рамочная программы по снижению риска бедствий, включая семь глобальных целей. Работа OEIWG должна быть завершена к декабрю 2016 года, а ее доклад представлен Генеральной Ассамблее для рассмотрения. Межправительственная рабочая группа по Целям </w:t>
      </w:r>
      <w:r w:rsidRPr="00502692">
        <w:rPr>
          <w:rFonts w:cs="Times New Roman"/>
          <w:sz w:val="24"/>
          <w:szCs w:val="24"/>
        </w:rPr>
        <w:t>устойчивого развития IAEG-SDG и Статистическая комиссия ООН формально признают роль OEIWG и возлагают ответственность за дальнейшее уточнение и разработку методологии для индикаторов ЦУР, связанных с бедствиями на данную рабочую группу.</w:t>
      </w:r>
    </w:p>
    <w:p w:rsidR="00D84DB9" w:rsidRPr="00502692" w:rsidRDefault="00D84DB9" w:rsidP="00D84DB9">
      <w:pPr>
        <w:rPr>
          <w:rFonts w:cs="Times New Roman"/>
          <w:sz w:val="24"/>
          <w:szCs w:val="24"/>
        </w:rPr>
      </w:pPr>
      <w:hyperlink r:id="rId6" w:history="1">
        <w:r w:rsidRPr="00502692">
          <w:rPr>
            <w:rStyle w:val="Hyperlink"/>
            <w:rFonts w:cs="Times New Roman"/>
            <w:color w:val="auto"/>
            <w:sz w:val="24"/>
            <w:szCs w:val="24"/>
            <w:u w:val="none"/>
            <w:lang w:val="en-US"/>
          </w:rPr>
          <w:t>http</w:t>
        </w:r>
        <w:r w:rsidRPr="00502692">
          <w:rPr>
            <w:rStyle w:val="Hyperlink"/>
            <w:rFonts w:cs="Times New Roman"/>
            <w:color w:val="auto"/>
            <w:sz w:val="24"/>
            <w:szCs w:val="24"/>
            <w:u w:val="none"/>
          </w:rPr>
          <w:t>://</w:t>
        </w:r>
        <w:r w:rsidRPr="00502692">
          <w:rPr>
            <w:rStyle w:val="Hyperlink"/>
            <w:rFonts w:cs="Times New Roman"/>
            <w:color w:val="auto"/>
            <w:sz w:val="24"/>
            <w:szCs w:val="24"/>
            <w:u w:val="none"/>
            <w:lang w:val="en-US"/>
          </w:rPr>
          <w:t>www</w:t>
        </w:r>
        <w:r w:rsidRPr="00502692">
          <w:rPr>
            <w:rStyle w:val="Hyperlink"/>
            <w:rFonts w:cs="Times New Roman"/>
            <w:color w:val="auto"/>
            <w:sz w:val="24"/>
            <w:szCs w:val="24"/>
            <w:u w:val="none"/>
          </w:rPr>
          <w:t>.</w:t>
        </w:r>
        <w:proofErr w:type="spellStart"/>
        <w:r w:rsidRPr="00502692">
          <w:rPr>
            <w:rStyle w:val="Hyperlink"/>
            <w:rFonts w:cs="Times New Roman"/>
            <w:color w:val="auto"/>
            <w:sz w:val="24"/>
            <w:szCs w:val="24"/>
            <w:u w:val="none"/>
            <w:lang w:val="en-US"/>
          </w:rPr>
          <w:t>preventionweb</w:t>
        </w:r>
        <w:proofErr w:type="spellEnd"/>
        <w:r w:rsidRPr="00502692">
          <w:rPr>
            <w:rStyle w:val="Hyperlink"/>
            <w:rFonts w:cs="Times New Roman"/>
            <w:color w:val="auto"/>
            <w:sz w:val="24"/>
            <w:szCs w:val="24"/>
            <w:u w:val="none"/>
          </w:rPr>
          <w:t>.</w:t>
        </w:r>
        <w:r w:rsidRPr="00502692">
          <w:rPr>
            <w:rStyle w:val="Hyperlink"/>
            <w:rFonts w:cs="Times New Roman"/>
            <w:color w:val="auto"/>
            <w:sz w:val="24"/>
            <w:szCs w:val="24"/>
            <w:u w:val="none"/>
            <w:lang w:val="en-US"/>
          </w:rPr>
          <w:t>net</w:t>
        </w:r>
        <w:r w:rsidRPr="00502692">
          <w:rPr>
            <w:rStyle w:val="Hyperlink"/>
            <w:rFonts w:cs="Times New Roman"/>
            <w:color w:val="auto"/>
            <w:sz w:val="24"/>
            <w:szCs w:val="24"/>
            <w:u w:val="none"/>
          </w:rPr>
          <w:t>/</w:t>
        </w:r>
        <w:proofErr w:type="spellStart"/>
        <w:r w:rsidRPr="00502692">
          <w:rPr>
            <w:rStyle w:val="Hyperlink"/>
            <w:rFonts w:cs="Times New Roman"/>
            <w:color w:val="auto"/>
            <w:sz w:val="24"/>
            <w:szCs w:val="24"/>
            <w:u w:val="none"/>
            <w:lang w:val="en-US"/>
          </w:rPr>
          <w:t>drr</w:t>
        </w:r>
        <w:proofErr w:type="spellEnd"/>
        <w:r w:rsidRPr="00502692">
          <w:rPr>
            <w:rStyle w:val="Hyperlink"/>
            <w:rFonts w:cs="Times New Roman"/>
            <w:color w:val="auto"/>
            <w:sz w:val="24"/>
            <w:szCs w:val="24"/>
            <w:u w:val="none"/>
          </w:rPr>
          <w:t>-</w:t>
        </w:r>
        <w:r w:rsidRPr="00502692">
          <w:rPr>
            <w:rStyle w:val="Hyperlink"/>
            <w:rFonts w:cs="Times New Roman"/>
            <w:color w:val="auto"/>
            <w:sz w:val="24"/>
            <w:szCs w:val="24"/>
            <w:u w:val="none"/>
            <w:lang w:val="en-US"/>
          </w:rPr>
          <w:t>framework</w:t>
        </w:r>
        <w:r w:rsidRPr="00502692">
          <w:rPr>
            <w:rStyle w:val="Hyperlink"/>
            <w:rFonts w:cs="Times New Roman"/>
            <w:color w:val="auto"/>
            <w:sz w:val="24"/>
            <w:szCs w:val="24"/>
            <w:u w:val="none"/>
          </w:rPr>
          <w:t>/</w:t>
        </w:r>
        <w:r w:rsidRPr="00502692">
          <w:rPr>
            <w:rStyle w:val="Hyperlink"/>
            <w:rFonts w:cs="Times New Roman"/>
            <w:color w:val="auto"/>
            <w:sz w:val="24"/>
            <w:szCs w:val="24"/>
            <w:u w:val="none"/>
            <w:lang w:val="en-US"/>
          </w:rPr>
          <w:t>open</w:t>
        </w:r>
        <w:r w:rsidRPr="00502692">
          <w:rPr>
            <w:rStyle w:val="Hyperlink"/>
            <w:rFonts w:cs="Times New Roman"/>
            <w:color w:val="auto"/>
            <w:sz w:val="24"/>
            <w:szCs w:val="24"/>
            <w:u w:val="none"/>
          </w:rPr>
          <w:t>-</w:t>
        </w:r>
        <w:r w:rsidRPr="00502692">
          <w:rPr>
            <w:rStyle w:val="Hyperlink"/>
            <w:rFonts w:cs="Times New Roman"/>
            <w:color w:val="auto"/>
            <w:sz w:val="24"/>
            <w:szCs w:val="24"/>
            <w:u w:val="none"/>
            <w:lang w:val="en-US"/>
          </w:rPr>
          <w:t>ended</w:t>
        </w:r>
        <w:r w:rsidRPr="00502692">
          <w:rPr>
            <w:rStyle w:val="Hyperlink"/>
            <w:rFonts w:cs="Times New Roman"/>
            <w:color w:val="auto"/>
            <w:sz w:val="24"/>
            <w:szCs w:val="24"/>
            <w:u w:val="none"/>
          </w:rPr>
          <w:t>-</w:t>
        </w:r>
        <w:r w:rsidRPr="00502692">
          <w:rPr>
            <w:rStyle w:val="Hyperlink"/>
            <w:rFonts w:cs="Times New Roman"/>
            <w:color w:val="auto"/>
            <w:sz w:val="24"/>
            <w:szCs w:val="24"/>
            <w:u w:val="none"/>
            <w:lang w:val="en-US"/>
          </w:rPr>
          <w:t>working</w:t>
        </w:r>
        <w:r w:rsidRPr="00502692">
          <w:rPr>
            <w:rStyle w:val="Hyperlink"/>
            <w:rFonts w:cs="Times New Roman"/>
            <w:color w:val="auto"/>
            <w:sz w:val="24"/>
            <w:szCs w:val="24"/>
            <w:u w:val="none"/>
          </w:rPr>
          <w:t>-</w:t>
        </w:r>
        <w:r w:rsidRPr="00502692">
          <w:rPr>
            <w:rStyle w:val="Hyperlink"/>
            <w:rFonts w:cs="Times New Roman"/>
            <w:color w:val="auto"/>
            <w:sz w:val="24"/>
            <w:szCs w:val="24"/>
            <w:u w:val="none"/>
            <w:lang w:val="en-US"/>
          </w:rPr>
          <w:t>group</w:t>
        </w:r>
        <w:r w:rsidRPr="00502692">
          <w:rPr>
            <w:rStyle w:val="Hyperlink"/>
            <w:rFonts w:cs="Times New Roman"/>
            <w:color w:val="auto"/>
            <w:sz w:val="24"/>
            <w:szCs w:val="24"/>
            <w:u w:val="none"/>
          </w:rPr>
          <w:t>/</w:t>
        </w:r>
      </w:hyperlink>
    </w:p>
    <w:p w:rsidR="00D84DB9" w:rsidRPr="00502692" w:rsidRDefault="00D84DB9" w:rsidP="00D84DB9">
      <w:pPr>
        <w:rPr>
          <w:rFonts w:cs="Times New Roman"/>
          <w:sz w:val="24"/>
          <w:szCs w:val="24"/>
        </w:rPr>
      </w:pPr>
      <w:r w:rsidRPr="00502692">
        <w:rPr>
          <w:rFonts w:cs="Times New Roman"/>
          <w:sz w:val="24"/>
          <w:szCs w:val="24"/>
        </w:rPr>
        <w:t>Последняя версия документов:</w:t>
      </w:r>
    </w:p>
    <w:p w:rsidR="00D84DB9" w:rsidRPr="00502692" w:rsidRDefault="00D84DB9" w:rsidP="00D84DB9">
      <w:pPr>
        <w:rPr>
          <w:rFonts w:cs="Times New Roman"/>
          <w:sz w:val="24"/>
          <w:szCs w:val="24"/>
        </w:rPr>
      </w:pPr>
      <w:hyperlink r:id="rId7" w:history="1">
        <w:r w:rsidRPr="00502692">
          <w:rPr>
            <w:rStyle w:val="Hyperlink"/>
            <w:rFonts w:cs="Times New Roman"/>
            <w:color w:val="auto"/>
            <w:sz w:val="24"/>
            <w:szCs w:val="24"/>
            <w:u w:val="none"/>
          </w:rPr>
          <w:t>http://www.preventionweb.net/drr-framework/open-ended-working-group/sessional-intersessionaldocuments</w:t>
        </w:r>
      </w:hyperlink>
    </w:p>
    <w:p w:rsidR="00D84DB9" w:rsidRPr="00007D12" w:rsidRDefault="00D84DB9" w:rsidP="00D84DB9">
      <w:pPr>
        <w:rPr>
          <w:rFonts w:cs="Times New Roman"/>
          <w:b/>
          <w:sz w:val="24"/>
          <w:szCs w:val="24"/>
        </w:rPr>
      </w:pPr>
      <w:r w:rsidRPr="00007D12">
        <w:rPr>
          <w:rFonts w:cs="Times New Roman"/>
          <w:b/>
          <w:sz w:val="24"/>
          <w:szCs w:val="24"/>
        </w:rPr>
        <w:t>Связанные показатели:</w:t>
      </w:r>
    </w:p>
    <w:p w:rsidR="00D84DB9" w:rsidRPr="00007D12" w:rsidRDefault="00D84DB9" w:rsidP="00D84DB9">
      <w:pPr>
        <w:rPr>
          <w:rFonts w:cs="Times New Roman"/>
          <w:sz w:val="24"/>
          <w:szCs w:val="24"/>
        </w:rPr>
      </w:pPr>
      <w:r w:rsidRPr="00007D12">
        <w:rPr>
          <w:rFonts w:cs="Times New Roman"/>
          <w:sz w:val="24"/>
          <w:szCs w:val="24"/>
        </w:rPr>
        <w:t>1.5; 11.5; 11.b; 13.1; 2.4; 3.6; 3.9; 3.d; 4.a; 6.6; 9.1; 9.a; 11.1; 11.3; 11.c; 13.2; 13.3; 13.a; 13.b; 14.2; 15.1;15.2; 15.3; 15.9.</w:t>
      </w:r>
    </w:p>
    <w:p w:rsidR="00D84DB9" w:rsidRPr="00007D12" w:rsidRDefault="00D84DB9" w:rsidP="00D84DB9">
      <w:pPr>
        <w:rPr>
          <w:rFonts w:cs="Times New Roman"/>
          <w:sz w:val="24"/>
          <w:szCs w:val="24"/>
        </w:rPr>
      </w:pPr>
    </w:p>
    <w:p w:rsidR="00D84DB9" w:rsidRPr="00007D12" w:rsidRDefault="00D84DB9" w:rsidP="00D84DB9">
      <w:pPr>
        <w:rPr>
          <w:rFonts w:cs="Times New Roman"/>
          <w:sz w:val="24"/>
          <w:szCs w:val="24"/>
        </w:rPr>
      </w:pPr>
    </w:p>
    <w:p w:rsidR="00D84DB9" w:rsidRPr="00007D12" w:rsidRDefault="00D84DB9" w:rsidP="00D84DB9">
      <w:pPr>
        <w:rPr>
          <w:rFonts w:cs="Times New Roman"/>
          <w:sz w:val="24"/>
          <w:szCs w:val="24"/>
        </w:rPr>
      </w:pPr>
    </w:p>
    <w:p w:rsidR="00D84DB9" w:rsidRPr="00007D12" w:rsidRDefault="00D84DB9" w:rsidP="00D84DB9">
      <w:pPr>
        <w:rPr>
          <w:rFonts w:cs="Times New Roman"/>
          <w:b/>
          <w:sz w:val="24"/>
          <w:szCs w:val="24"/>
        </w:rPr>
      </w:pPr>
    </w:p>
    <w:p w:rsidR="00D84DB9" w:rsidRPr="00007D12" w:rsidRDefault="00D84DB9" w:rsidP="00D84DB9">
      <w:pPr>
        <w:rPr>
          <w:rFonts w:cs="Times New Roman"/>
          <w:sz w:val="24"/>
          <w:szCs w:val="24"/>
        </w:rPr>
      </w:pPr>
    </w:p>
    <w:p w:rsidR="00D84DB9" w:rsidRPr="00007D12" w:rsidRDefault="00D84DB9" w:rsidP="00D84DB9">
      <w:pPr>
        <w:rPr>
          <w:rFonts w:cs="Times New Roman"/>
          <w:b/>
          <w:sz w:val="24"/>
          <w:szCs w:val="24"/>
        </w:rPr>
      </w:pPr>
    </w:p>
    <w:p w:rsidR="00D84DB9" w:rsidRPr="00007D12" w:rsidRDefault="00D84DB9" w:rsidP="00D84DB9">
      <w:pPr>
        <w:rPr>
          <w:rFonts w:cs="Times New Roman"/>
          <w:sz w:val="24"/>
          <w:szCs w:val="24"/>
        </w:rPr>
      </w:pPr>
    </w:p>
    <w:p w:rsidR="00D84DB9" w:rsidRPr="00007D12" w:rsidRDefault="00D84DB9" w:rsidP="00D84DB9">
      <w:pPr>
        <w:rPr>
          <w:rFonts w:cs="Times New Roman"/>
          <w:sz w:val="24"/>
          <w:szCs w:val="24"/>
        </w:rPr>
      </w:pPr>
    </w:p>
    <w:p w:rsidR="00D84DB9" w:rsidRPr="00007D12" w:rsidRDefault="00D84DB9" w:rsidP="00D84DB9">
      <w:pPr>
        <w:rPr>
          <w:rFonts w:cs="Times New Roman"/>
          <w:sz w:val="24"/>
          <w:szCs w:val="24"/>
        </w:rPr>
      </w:pPr>
    </w:p>
    <w:p w:rsidR="00761C17" w:rsidRPr="00D84DB9" w:rsidRDefault="00761C17" w:rsidP="00D84DB9">
      <w:bookmarkStart w:id="0" w:name="_GoBack"/>
      <w:bookmarkEnd w:id="0"/>
    </w:p>
    <w:sectPr w:rsidR="00761C17" w:rsidRPr="00D84D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ACFF"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67BC"/>
    <w:rsid w:val="00007D12"/>
    <w:rsid w:val="000A56F0"/>
    <w:rsid w:val="0022621D"/>
    <w:rsid w:val="00296550"/>
    <w:rsid w:val="003B0F55"/>
    <w:rsid w:val="00481EA2"/>
    <w:rsid w:val="00496CA9"/>
    <w:rsid w:val="00502692"/>
    <w:rsid w:val="00566FD9"/>
    <w:rsid w:val="005E6894"/>
    <w:rsid w:val="00603219"/>
    <w:rsid w:val="006276A1"/>
    <w:rsid w:val="006C24DC"/>
    <w:rsid w:val="006D7D4B"/>
    <w:rsid w:val="00761C17"/>
    <w:rsid w:val="00834B83"/>
    <w:rsid w:val="009067BC"/>
    <w:rsid w:val="00957F69"/>
    <w:rsid w:val="00A00775"/>
    <w:rsid w:val="00A17F6E"/>
    <w:rsid w:val="00A66710"/>
    <w:rsid w:val="00AE10C8"/>
    <w:rsid w:val="00AF2A5B"/>
    <w:rsid w:val="00B26A06"/>
    <w:rsid w:val="00D84DB9"/>
    <w:rsid w:val="00DD6CAB"/>
    <w:rsid w:val="00E913F1"/>
    <w:rsid w:val="00EB6D0F"/>
    <w:rsid w:val="00F653C8"/>
    <w:rsid w:val="00F8709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1EAD7D-F0AA-414B-AA34-32C7AE267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1C17"/>
    <w:pPr>
      <w:spacing w:after="120"/>
      <w:jc w:val="both"/>
    </w:pPr>
    <w:rPr>
      <w:rFonts w:ascii="Times New Roman" w:hAnsi="Times New Roman"/>
      <w:sz w:val="28"/>
    </w:rPr>
  </w:style>
  <w:style w:type="paragraph" w:styleId="Heading2">
    <w:name w:val="heading 2"/>
    <w:basedOn w:val="Normal"/>
    <w:next w:val="Normal"/>
    <w:link w:val="Heading2Char"/>
    <w:uiPriority w:val="9"/>
    <w:unhideWhenUsed/>
    <w:qFormat/>
    <w:rsid w:val="00AE10C8"/>
    <w:pPr>
      <w:keepNext/>
      <w:keepLines/>
      <w:spacing w:before="120"/>
      <w:jc w:val="center"/>
      <w:outlineLvl w:val="1"/>
    </w:pPr>
    <w:rPr>
      <w:rFonts w:eastAsiaTheme="majorEastAsia" w:cstheme="majorBidi"/>
      <w:b/>
      <w:color w:val="000000" w:themeColor="text1"/>
      <w:sz w:val="32"/>
      <w:szCs w:val="26"/>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E10C8"/>
    <w:rPr>
      <w:rFonts w:ascii="Times New Roman" w:eastAsiaTheme="majorEastAsia" w:hAnsi="Times New Roman" w:cstheme="majorBidi"/>
      <w:b/>
      <w:color w:val="000000" w:themeColor="text1"/>
      <w:sz w:val="32"/>
      <w:szCs w:val="26"/>
      <w:u w:color="000000"/>
      <w:bdr w:val="nil"/>
    </w:rPr>
  </w:style>
  <w:style w:type="paragraph" w:styleId="NoSpacing">
    <w:name w:val="No Spacing"/>
    <w:uiPriority w:val="1"/>
    <w:qFormat/>
    <w:rsid w:val="00AE10C8"/>
    <w:pPr>
      <w:pBdr>
        <w:top w:val="nil"/>
        <w:left w:val="nil"/>
        <w:bottom w:val="nil"/>
        <w:right w:val="nil"/>
        <w:between w:val="nil"/>
        <w:bar w:val="nil"/>
      </w:pBdr>
      <w:spacing w:after="0" w:line="360" w:lineRule="auto"/>
      <w:ind w:firstLine="709"/>
    </w:pPr>
    <w:rPr>
      <w:rFonts w:ascii="Times New Roman" w:eastAsia="Calibri" w:hAnsi="Times New Roman" w:cs="Calibri"/>
      <w:color w:val="000000"/>
      <w:sz w:val="28"/>
      <w:u w:color="000000"/>
      <w:bdr w:val="nil"/>
    </w:rPr>
  </w:style>
  <w:style w:type="character" w:styleId="Hyperlink">
    <w:name w:val="Hyperlink"/>
    <w:basedOn w:val="DefaultParagraphFont"/>
    <w:uiPriority w:val="99"/>
    <w:unhideWhenUsed/>
    <w:rsid w:val="002965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reventionweb.net/drr-framework/open-ended-working-group/sessional-intersessionaldocumen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eventionweb.net/drr-framework/open-ended-working-group/" TargetMode="External"/><Relationship Id="rId5" Type="http://schemas.openxmlformats.org/officeDocument/2006/relationships/hyperlink" Target="http://www.preventionweb.net/documents/oiewg/Technical%20Collection%20of%20Concept%20Notes%20on%20Indicators.pdf" TargetMode="External"/><Relationship Id="rId4" Type="http://schemas.openxmlformats.org/officeDocument/2006/relationships/hyperlink" Target="http://www.preventionweb.net/documents/oiewg/Technical%20Collection%20of%20Concept%20Notes%20on%20Indicators.pdf"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384</TotalTime>
  <Pages>5</Pages>
  <Words>1560</Words>
  <Characters>8893</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Microsoft Office User</cp:lastModifiedBy>
  <cp:revision>16</cp:revision>
  <dcterms:created xsi:type="dcterms:W3CDTF">2017-06-05T11:12:00Z</dcterms:created>
  <dcterms:modified xsi:type="dcterms:W3CDTF">2021-08-18T13:43:00Z</dcterms:modified>
</cp:coreProperties>
</file>