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B527B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eastAsia="Times New Roman" w:hAnsi="Times New Roman" w:cs="Times New Roman"/>
          <w:b/>
          <w:sz w:val="24"/>
          <w:szCs w:val="24"/>
        </w:rPr>
        <w:t>Цель 1. Повсеместная ликвидация нищеты во всех ее формах</w:t>
      </w:r>
      <w:r w:rsidRPr="001412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7FB11" w14:textId="77777777" w:rsidR="00D316F8" w:rsidRPr="001412C9" w:rsidRDefault="00D316F8" w:rsidP="00D316F8">
      <w:pPr>
        <w:spacing w:line="237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2C9">
        <w:rPr>
          <w:rFonts w:ascii="Times New Roman" w:eastAsia="Times New Roman" w:hAnsi="Times New Roman" w:cs="Times New Roman"/>
          <w:b/>
          <w:sz w:val="24"/>
          <w:szCs w:val="24"/>
        </w:rPr>
        <w:t>1.3 Внедрить на национальном уровне надлежащие системы и меры социальной защиты для всех, включая установление минимальных уровней, и к 2030 году достичь существенного охвата малообеспеченных и уязвимых слоев населения</w:t>
      </w:r>
    </w:p>
    <w:p w14:paraId="7FA7B8D4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1.3.1 Доля населения, охватываемого минимальным уровнем/ системами социальной защиты, в разбивке по полу, с выделением детей, безработных, пожилых, инвалидов, беременных, новорожденных, лиц, получивших трудовое увечье, малообеспеченных и уязвимых</w:t>
      </w:r>
    </w:p>
    <w:p w14:paraId="606A8E61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72E518B2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Организация (и): Международная организация труда (МОТ)</w:t>
      </w:r>
    </w:p>
    <w:p w14:paraId="59F14F5C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Понятия и определения</w:t>
      </w:r>
    </w:p>
    <w:p w14:paraId="197E6F71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Определения:</w:t>
      </w:r>
    </w:p>
    <w:p w14:paraId="2285EE8F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Этот показатель отражает долю населения, охватываемого минимальным уровнем/системами социальной защиты, и включает долю безработных, получающих пособие по безработице, которая определяется как количество безработных, получающих пособие по безработице, деленное на общее число безработных в возрасте 100 лет.</w:t>
      </w:r>
    </w:p>
    <w:p w14:paraId="071DB9BF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1A6B870A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Доступ, по крайней мере, к базовому уровню системы социального обеспечения на протяжении всего жизненного цикла имеет основополагающее значение для обеспечения здоровья и достоинства людей. Принцип идеальной универсальности социальной защиты (на основе национального уровня социальной защиты) свидетельствует о важности систем социальной защиты для обеспечения достойных условий жизни для всего населения на протяжении всей их жизни. Доля населения, охваченного минимальным уровнем/ системами социальной защиты, указывает на то, в какой степени эта универсальность достигнута, и на то, насколько защищенными являются условия жизни для населения.</w:t>
      </w:r>
    </w:p>
    <w:p w14:paraId="2A285C62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Понятия:</w:t>
      </w:r>
    </w:p>
    <w:p w14:paraId="696CD598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Определения основаны на Всемирном опросе по вопросам социальной защиты и на Рекомендации МОТ № 202 по вопросам социальной защиты.</w:t>
      </w:r>
    </w:p>
    <w:p w14:paraId="0F4B18B0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Минимальные уровни социальной защиты являются национально определенными наборами основных гарантий социального обеспечения, которые должны обеспечивать, как минимум, то, что в течение всего жизненного цикла все нуждающиеся имеют доступ к основным медицинским услугам и обеспечению базового уровня доходов, которые вместе обеспечивают гарантированный эффективный доступ к товарам и услугам, определенных в качестве необходимых на национальном уровне. Это должно включать, по крайней мере, доступ к основным медицинским услугам, включая уход за беременными женщинами; обеспечение первичной защиты детей; обеспечение лиц трудоспособного возраста, которые не могут получить достаточный доход в случае болезни, безработицы, материнства и инвалидности; и обеспечение пожилых людей.</w:t>
      </w:r>
    </w:p>
    <w:p w14:paraId="4EFEE410" w14:textId="77777777" w:rsidR="00D316F8" w:rsidRPr="00584C71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71">
        <w:rPr>
          <w:rFonts w:ascii="Times New Roman" w:hAnsi="Times New Roman" w:cs="Times New Roman"/>
          <w:b/>
          <w:sz w:val="24"/>
          <w:szCs w:val="24"/>
        </w:rPr>
        <w:t xml:space="preserve"> Комментарии и ограничения:</w:t>
      </w:r>
    </w:p>
    <w:p w14:paraId="238028A2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lastRenderedPageBreak/>
        <w:t>Существует риск двойного учета бенефициаров систем социального обеспечения или даже лиц, охваченных ими, из-за наличия «дополнительных» пенсионных схем. И даже если основные источники двойного подсчета исключены, может произойти двойной подсчет, если, например, получатели перемещаются между различными пенсионными схемами в течение своей жизни и получают преимущества от нескольких схем.</w:t>
      </w:r>
    </w:p>
    <w:p w14:paraId="06A39B22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Результаты (уровень и изменения с течением времени) должны анализироваться в отношении контекстуальной информации, в частности, в отношении типа схем и комбинаций схем, существующих в каждой стране.</w:t>
      </w:r>
    </w:p>
    <w:p w14:paraId="4D831761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3924CEA3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Метод расчета:</w:t>
      </w:r>
    </w:p>
    <w:p w14:paraId="54181A5B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Доля населения, охваченного минимальным уровнем/системами социальной защиты = Количество лиц, охваченных минимальным уровнем/системами социальной защиты / Общая численность населения * 100</w:t>
      </w:r>
    </w:p>
    <w:p w14:paraId="3BB7F86A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2C9">
        <w:rPr>
          <w:rFonts w:ascii="Times New Roman" w:hAnsi="Times New Roman" w:cs="Times New Roman"/>
          <w:sz w:val="24"/>
          <w:szCs w:val="24"/>
        </w:rPr>
        <w:t>Подпоказатели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:</w:t>
      </w:r>
    </w:p>
    <w:p w14:paraId="1BC1CECE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Число безработных, получающих пособие по безработице / Общая безработица * 100</w:t>
      </w:r>
    </w:p>
    <w:p w14:paraId="75277592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Занятые женщины, получающие пособие по беременности и родам / Общая занятость женщин * 100</w:t>
      </w:r>
    </w:p>
    <w:p w14:paraId="05D65FD9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Лица, превышающие установленный законом пенсионный возраст, получающий пенсию по старости / Население, превышающее установленный законом пенсионный возраст</w:t>
      </w:r>
    </w:p>
    <w:p w14:paraId="0C27BA6A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6B2718EC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Описание:</w:t>
      </w:r>
    </w:p>
    <w:p w14:paraId="55F3FA36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Административные данные о схемах социального обеспечения часто являются наиболее актуальными и предоставляют исчерпывающую информацию для вычисления этого показателя. При отсутствии надежных административных записей могут использоваться данные исследований домашних хозяйств (исследование бюджетов домашних хозяйств или исследование рабочей силы).</w:t>
      </w:r>
    </w:p>
    <w:p w14:paraId="0BD2D9CA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Данные исследований домашних хозяйств также могут использоваться для определения знаменателя показателя.</w:t>
      </w:r>
    </w:p>
    <w:p w14:paraId="32F9CAA3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33DFA828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-</w:t>
      </w:r>
    </w:p>
    <w:p w14:paraId="2642D150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6C64A82D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-</w:t>
      </w:r>
    </w:p>
    <w:p w14:paraId="6C94B670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2027DCB4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lastRenderedPageBreak/>
        <w:t>Министерства социального обеспечения, Министерства труда, Министерства здравоохранения и / или национальные статистические агентства</w:t>
      </w:r>
    </w:p>
    <w:p w14:paraId="344A9C2A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1412C9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14:paraId="2D55C8A2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1412C9">
        <w:rPr>
          <w:rFonts w:ascii="Times New Roman" w:hAnsi="Times New Roman" w:cs="Times New Roman"/>
          <w:sz w:val="24"/>
          <w:szCs w:val="24"/>
        </w:rPr>
        <w:t>:</w:t>
      </w:r>
    </w:p>
    <w:p w14:paraId="4EFEAC5E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МОТ</w:t>
      </w:r>
    </w:p>
    <w:p w14:paraId="1B2770DC" w14:textId="77777777" w:rsidR="00D316F8" w:rsidRPr="001412C9" w:rsidRDefault="00D316F8" w:rsidP="00D3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5321722D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URL:</w:t>
      </w:r>
    </w:p>
    <w:p w14:paraId="45260269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www.ilo.org/ilostat</w:t>
      </w:r>
    </w:p>
    <w:p w14:paraId="5E375CB8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1412C9">
        <w:rPr>
          <w:rFonts w:ascii="Times New Roman" w:hAnsi="Times New Roman" w:cs="Times New Roman"/>
          <w:sz w:val="24"/>
          <w:szCs w:val="24"/>
        </w:rPr>
        <w:t>:</w:t>
      </w:r>
    </w:p>
    <w:p w14:paraId="0CECF23D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Статистика МОТ: </w:t>
      </w:r>
      <w:hyperlink r:id="rId4" w:history="1"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www.ilo.org/ilostat</w:t>
        </w:r>
      </w:hyperlink>
    </w:p>
    <w:p w14:paraId="7915B725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Статистика и показатели социальной защиты МОТ: </w:t>
      </w:r>
    </w:p>
    <w:p w14:paraId="511FEDFE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http://www.socialsecurityextension.org/gimi/gess/ShowTheme.action?th.themeId=10</w:t>
        </w:r>
      </w:hyperlink>
    </w:p>
    <w:p w14:paraId="50FA0450" w14:textId="77777777" w:rsidR="00D316F8" w:rsidRPr="001412C9" w:rsidRDefault="00D316F8" w:rsidP="00D316F8">
      <w:pPr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Рекомендация МОТ по социальной защите (№ 202), 2012 год:</w:t>
      </w:r>
    </w:p>
    <w:p w14:paraId="22843F24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12C9">
        <w:rPr>
          <w:rFonts w:ascii="Times New Roman" w:hAnsi="Times New Roman" w:cs="Times New Roman"/>
          <w:sz w:val="24"/>
          <w:szCs w:val="24"/>
        </w:rPr>
        <w:t>://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412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ilo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.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dyn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normlex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412C9">
        <w:rPr>
          <w:rFonts w:ascii="Times New Roman" w:hAnsi="Times New Roman" w:cs="Times New Roman"/>
          <w:sz w:val="24"/>
          <w:szCs w:val="24"/>
        </w:rPr>
        <w:t>?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=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NORMLEXPUB</w:t>
      </w:r>
      <w:r w:rsidRPr="001412C9">
        <w:rPr>
          <w:rFonts w:ascii="Times New Roman" w:hAnsi="Times New Roman" w:cs="Times New Roman"/>
          <w:sz w:val="24"/>
          <w:szCs w:val="24"/>
        </w:rPr>
        <w:t>:12100:0::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2C9">
        <w:rPr>
          <w:rFonts w:ascii="Times New Roman" w:hAnsi="Times New Roman" w:cs="Times New Roman"/>
          <w:sz w:val="24"/>
          <w:szCs w:val="24"/>
        </w:rPr>
        <w:t>::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12100_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1412C9">
        <w:rPr>
          <w:rFonts w:ascii="Times New Roman" w:hAnsi="Times New Roman" w:cs="Times New Roman"/>
          <w:sz w:val="24"/>
          <w:szCs w:val="24"/>
        </w:rPr>
        <w:t>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412C9">
        <w:rPr>
          <w:rFonts w:ascii="Times New Roman" w:hAnsi="Times New Roman" w:cs="Times New Roman"/>
          <w:sz w:val="24"/>
          <w:szCs w:val="24"/>
        </w:rPr>
        <w:t>,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12100_</w:t>
      </w:r>
    </w:p>
    <w:p w14:paraId="467705E5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  <w:lang w:val="en-US"/>
        </w:rPr>
        <w:t>LANG</w:t>
      </w:r>
      <w:r w:rsidRPr="001412C9">
        <w:rPr>
          <w:rFonts w:ascii="Times New Roman" w:hAnsi="Times New Roman" w:cs="Times New Roman"/>
          <w:sz w:val="24"/>
          <w:szCs w:val="24"/>
        </w:rPr>
        <w:t>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1412C9">
        <w:rPr>
          <w:rFonts w:ascii="Times New Roman" w:hAnsi="Times New Roman" w:cs="Times New Roman"/>
          <w:sz w:val="24"/>
          <w:szCs w:val="24"/>
        </w:rPr>
        <w:t>:3065524,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</w:p>
    <w:p w14:paraId="5F29F669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EFA47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Конвенция МОТ о социальном обеспечении (минимальные стандарты) (№ 102), 1952 г.:</w:t>
      </w:r>
    </w:p>
    <w:p w14:paraId="7034515A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12C9">
        <w:rPr>
          <w:rFonts w:ascii="Times New Roman" w:hAnsi="Times New Roman" w:cs="Times New Roman"/>
          <w:sz w:val="24"/>
          <w:szCs w:val="24"/>
        </w:rPr>
        <w:t>://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412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ilo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.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dyn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normlex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412C9">
        <w:rPr>
          <w:rFonts w:ascii="Times New Roman" w:hAnsi="Times New Roman" w:cs="Times New Roman"/>
          <w:sz w:val="24"/>
          <w:szCs w:val="24"/>
        </w:rPr>
        <w:t>?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=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NORMLEXPUB</w:t>
      </w:r>
      <w:r w:rsidRPr="001412C9">
        <w:rPr>
          <w:rFonts w:ascii="Times New Roman" w:hAnsi="Times New Roman" w:cs="Times New Roman"/>
          <w:sz w:val="24"/>
          <w:szCs w:val="24"/>
        </w:rPr>
        <w:t>:12100:0::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2C9">
        <w:rPr>
          <w:rFonts w:ascii="Times New Roman" w:hAnsi="Times New Roman" w:cs="Times New Roman"/>
          <w:sz w:val="24"/>
          <w:szCs w:val="24"/>
        </w:rPr>
        <w:t>:12100: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412C9">
        <w:rPr>
          <w:rFonts w:ascii="Times New Roman" w:hAnsi="Times New Roman" w:cs="Times New Roman"/>
          <w:sz w:val="24"/>
          <w:szCs w:val="24"/>
        </w:rPr>
        <w:t>12100_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1412C9">
        <w:rPr>
          <w:rFonts w:ascii="Times New Roman" w:hAnsi="Times New Roman" w:cs="Times New Roman"/>
          <w:sz w:val="24"/>
          <w:szCs w:val="24"/>
        </w:rPr>
        <w:t>_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412C9">
        <w:rPr>
          <w:rFonts w:ascii="Times New Roman" w:hAnsi="Times New Roman" w:cs="Times New Roman"/>
          <w:sz w:val="24"/>
          <w:szCs w:val="24"/>
        </w:rPr>
        <w:t>:3</w:t>
      </w:r>
    </w:p>
    <w:p w14:paraId="2221E88D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12247:</w:t>
      </w:r>
      <w:r w:rsidRPr="001412C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2C9">
        <w:rPr>
          <w:rFonts w:ascii="Times New Roman" w:hAnsi="Times New Roman" w:cs="Times New Roman"/>
          <w:sz w:val="24"/>
          <w:szCs w:val="24"/>
        </w:rPr>
        <w:cr/>
      </w:r>
    </w:p>
    <w:p w14:paraId="09E330A2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Руководство по показателям труда:</w:t>
      </w:r>
    </w:p>
    <w:p w14:paraId="6BCD6E4C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http://www.ilo.org/wcmsp5/groups/public/---</w:t>
        </w:r>
        <w:proofErr w:type="spellStart"/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dgreports</w:t>
        </w:r>
        <w:proofErr w:type="spellEnd"/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/---</w:t>
        </w:r>
        <w:proofErr w:type="spellStart"/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stat</w:t>
        </w:r>
        <w:proofErr w:type="spellEnd"/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documents</w:t>
        </w:r>
        <w:proofErr w:type="spellEnd"/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publication</w:t>
        </w:r>
        <w:proofErr w:type="spellEnd"/>
        <w:r w:rsidRPr="001412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/wcms_223121.pdf</w:t>
        </w:r>
      </w:hyperlink>
    </w:p>
    <w:p w14:paraId="430D4355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CF91B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 xml:space="preserve">Всемирный отчет о социальной защите 2014/2015: </w:t>
      </w:r>
    </w:p>
    <w:p w14:paraId="2E4D69DC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http://www.ilo.ch/wcmsp5/groups/public/---</w:t>
      </w:r>
      <w:proofErr w:type="spellStart"/>
      <w:r w:rsidRPr="001412C9">
        <w:rPr>
          <w:rFonts w:ascii="Times New Roman" w:hAnsi="Times New Roman" w:cs="Times New Roman"/>
          <w:sz w:val="24"/>
          <w:szCs w:val="24"/>
        </w:rPr>
        <w:t>dgreports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/---</w:t>
      </w:r>
      <w:proofErr w:type="spellStart"/>
      <w:r w:rsidRPr="001412C9">
        <w:rPr>
          <w:rFonts w:ascii="Times New Roman" w:hAnsi="Times New Roman" w:cs="Times New Roman"/>
          <w:sz w:val="24"/>
          <w:szCs w:val="24"/>
        </w:rPr>
        <w:t>dcomm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12C9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412C9">
        <w:rPr>
          <w:rFonts w:ascii="Times New Roman" w:hAnsi="Times New Roman" w:cs="Times New Roman"/>
          <w:sz w:val="24"/>
          <w:szCs w:val="24"/>
        </w:rPr>
        <w:t>/wcms_245201.pdf</w:t>
      </w:r>
    </w:p>
    <w:p w14:paraId="6AE2E9DF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2FEC2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2C9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14:paraId="25641DF0" w14:textId="77777777" w:rsidR="00D316F8" w:rsidRPr="001412C9" w:rsidRDefault="00D316F8" w:rsidP="00D3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2C9">
        <w:rPr>
          <w:rFonts w:ascii="Times New Roman" w:hAnsi="Times New Roman" w:cs="Times New Roman"/>
          <w:sz w:val="24"/>
          <w:szCs w:val="24"/>
        </w:rPr>
        <w:t>8.b</w:t>
      </w:r>
    </w:p>
    <w:p w14:paraId="18FAC190" w14:textId="15B70A85" w:rsidR="003D0CE4" w:rsidRPr="00D316F8" w:rsidRDefault="003D0CE4" w:rsidP="00D316F8">
      <w:bookmarkStart w:id="0" w:name="_GoBack"/>
      <w:bookmarkEnd w:id="0"/>
    </w:p>
    <w:sectPr w:rsidR="003D0CE4" w:rsidRPr="00D316F8" w:rsidSect="009301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1B3"/>
    <w:rsid w:val="000F6C66"/>
    <w:rsid w:val="001412C9"/>
    <w:rsid w:val="00160CA6"/>
    <w:rsid w:val="0020278A"/>
    <w:rsid w:val="00263496"/>
    <w:rsid w:val="00301052"/>
    <w:rsid w:val="00320851"/>
    <w:rsid w:val="003666F9"/>
    <w:rsid w:val="003D0CE4"/>
    <w:rsid w:val="004661C6"/>
    <w:rsid w:val="004A6B84"/>
    <w:rsid w:val="004E6F06"/>
    <w:rsid w:val="004F4A63"/>
    <w:rsid w:val="00584C71"/>
    <w:rsid w:val="0065144C"/>
    <w:rsid w:val="009301B3"/>
    <w:rsid w:val="00997E45"/>
    <w:rsid w:val="00A56AD6"/>
    <w:rsid w:val="00B36A54"/>
    <w:rsid w:val="00BC1446"/>
    <w:rsid w:val="00BD1E63"/>
    <w:rsid w:val="00C340F9"/>
    <w:rsid w:val="00CD1E7D"/>
    <w:rsid w:val="00CE4E37"/>
    <w:rsid w:val="00D316F8"/>
    <w:rsid w:val="00D93DD1"/>
    <w:rsid w:val="00F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7ED3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o.org/wcmsp5/groups/public/---dgreports/---stat/documents/publication/wcms_223121.pdf" TargetMode="External"/><Relationship Id="rId5" Type="http://schemas.openxmlformats.org/officeDocument/2006/relationships/hyperlink" Target="http://www.socialsecurityextension.org/gimi/gess/ShowTheme.action?th.themeId=10" TargetMode="External"/><Relationship Id="rId4" Type="http://schemas.openxmlformats.org/officeDocument/2006/relationships/hyperlink" Target="http://www.ilo.org/ilost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14</cp:revision>
  <dcterms:created xsi:type="dcterms:W3CDTF">2017-05-30T10:45:00Z</dcterms:created>
  <dcterms:modified xsi:type="dcterms:W3CDTF">2021-08-18T13:38:00Z</dcterms:modified>
</cp:coreProperties>
</file>